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0E79C">
      <w:pPr>
        <w:autoSpaceDE/>
        <w:autoSpaceDN/>
        <w:adjustRightInd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摘</w:t>
      </w:r>
      <w:r>
        <w:rPr>
          <w:rFonts w:ascii="Times New Roman" w:hAnsi="Times New Roman"/>
          <w:b/>
          <w:bCs/>
          <w:sz w:val="44"/>
          <w:szCs w:val="44"/>
          <w:highlight w:val="none"/>
          <w:lang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要</w:t>
      </w:r>
    </w:p>
    <w:p w14:paraId="01B7E262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  <w:t>地块描述</w:t>
      </w:r>
    </w:p>
    <w:p w14:paraId="0C05545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default" w:cs="Times New Roman"/>
          <w:color w:val="auto"/>
          <w:highlight w:val="none"/>
          <w:lang w:val="en-US" w:eastAsia="zh-CN"/>
        </w:rPr>
      </w:pPr>
      <w:r>
        <w:rPr>
          <w:rFonts w:hint="eastAsia" w:cs="Times New Roman"/>
          <w:color w:val="auto"/>
          <w:highlight w:val="none"/>
          <w:lang w:val="en-US" w:eastAsia="zh-CN"/>
        </w:rPr>
        <w:t>大麦屿街道五一村保障性安居工程</w:t>
      </w:r>
      <w:r>
        <w:rPr>
          <w:rFonts w:hint="default" w:cs="Times New Roman"/>
          <w:color w:val="auto"/>
          <w:highlight w:val="none"/>
          <w:lang w:val="en-US" w:eastAsia="zh-CN"/>
        </w:rPr>
        <w:t>位于浙江省</w:t>
      </w:r>
      <w:r>
        <w:rPr>
          <w:rFonts w:hint="eastAsia" w:cs="Times New Roman"/>
          <w:color w:val="auto"/>
          <w:highlight w:val="none"/>
          <w:lang w:val="en-US" w:eastAsia="zh-CN"/>
        </w:rPr>
        <w:t>台州市玉环市大麦屿街道五一村</w:t>
      </w:r>
      <w:r>
        <w:rPr>
          <w:rFonts w:hint="default" w:cs="Times New Roman"/>
          <w:color w:val="auto"/>
          <w:highlight w:val="none"/>
          <w:lang w:val="en-US" w:eastAsia="zh-CN"/>
        </w:rPr>
        <w:t>，地块中心点的经纬度分别为东经121.160283</w:t>
      </w:r>
      <w:r>
        <w:rPr>
          <w:rFonts w:hint="eastAsia" w:cs="Times New Roman"/>
          <w:color w:val="auto"/>
          <w:highlight w:val="none"/>
          <w:lang w:val="en-US" w:eastAsia="zh-CN"/>
        </w:rPr>
        <w:t>°</w:t>
      </w:r>
      <w:r>
        <w:rPr>
          <w:rFonts w:hint="default" w:cs="Times New Roman"/>
          <w:color w:val="auto"/>
          <w:highlight w:val="none"/>
          <w:lang w:val="en-US" w:eastAsia="zh-CN"/>
        </w:rPr>
        <w:t>北纬28.077220</w:t>
      </w:r>
      <w:r>
        <w:rPr>
          <w:rFonts w:hint="eastAsia" w:cs="Times New Roman"/>
          <w:color w:val="auto"/>
          <w:highlight w:val="none"/>
          <w:lang w:val="en-US" w:eastAsia="zh-CN"/>
        </w:rPr>
        <w:t>°</w:t>
      </w:r>
      <w:r>
        <w:rPr>
          <w:rFonts w:hint="default" w:cs="Times New Roman"/>
          <w:color w:val="auto"/>
          <w:highlight w:val="none"/>
          <w:lang w:val="en-US" w:eastAsia="zh-CN"/>
        </w:rPr>
        <w:t>，</w:t>
      </w:r>
      <w:r>
        <w:rPr>
          <w:rFonts w:hint="eastAsia" w:cs="Times New Roman"/>
          <w:color w:val="auto"/>
          <w:highlight w:val="none"/>
          <w:lang w:val="en-US" w:eastAsia="zh-CN"/>
        </w:rPr>
        <w:t>东至五一隔山片住宅，南至五一隔山片住宅</w:t>
      </w:r>
      <w:r>
        <w:rPr>
          <w:rFonts w:hint="default" w:cs="Times New Roman"/>
          <w:color w:val="auto"/>
          <w:highlight w:val="none"/>
          <w:lang w:val="en-US" w:eastAsia="zh-CN"/>
        </w:rPr>
        <w:t>，西</w:t>
      </w:r>
      <w:r>
        <w:rPr>
          <w:rFonts w:hint="eastAsia" w:cs="Times New Roman"/>
          <w:color w:val="auto"/>
          <w:highlight w:val="none"/>
          <w:lang w:val="en-US" w:eastAsia="zh-CN"/>
        </w:rPr>
        <w:t>至五一隔山片住宅，北至村道</w:t>
      </w:r>
      <w:r>
        <w:rPr>
          <w:rFonts w:hint="eastAsia" w:cs="Times New Roman"/>
          <w:color w:val="auto"/>
          <w:highlight w:val="none"/>
          <w:lang w:val="en-US" w:eastAsia="zh-CN"/>
        </w:rPr>
        <w:t>，</w:t>
      </w:r>
      <w:r>
        <w:rPr>
          <w:rFonts w:hint="default" w:cs="Times New Roman"/>
          <w:color w:val="auto"/>
          <w:highlight w:val="none"/>
          <w:lang w:val="en-US" w:eastAsia="zh-CN"/>
        </w:rPr>
        <w:t>面积为</w:t>
      </w:r>
      <w:r>
        <w:rPr>
          <w:rFonts w:hint="eastAsia" w:cs="Times New Roman"/>
          <w:color w:val="auto"/>
          <w:highlight w:val="none"/>
          <w:lang w:val="en-US" w:eastAsia="zh-CN"/>
        </w:rPr>
        <w:t>15332</w:t>
      </w:r>
      <w:r>
        <w:rPr>
          <w:rFonts w:hint="default" w:cs="Times New Roman"/>
          <w:color w:val="auto"/>
          <w:highlight w:val="none"/>
          <w:lang w:val="en-US" w:eastAsia="zh-CN"/>
        </w:rPr>
        <w:t>m</w:t>
      </w:r>
      <w:r>
        <w:rPr>
          <w:rFonts w:hint="default" w:cs="Times New Roman"/>
          <w:color w:val="auto"/>
          <w:highlight w:val="none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highlight w:val="none"/>
          <w:lang w:val="en-US" w:eastAsia="zh-CN"/>
        </w:rPr>
        <w:t>，</w:t>
      </w:r>
      <w:r>
        <w:rPr>
          <w:rFonts w:hint="eastAsia" w:cs="Times New Roman"/>
          <w:color w:val="auto"/>
          <w:highlight w:val="none"/>
          <w:lang w:val="en-US" w:eastAsia="zh-CN"/>
        </w:rPr>
        <w:t>其中8347m</w:t>
      </w:r>
      <w:r>
        <w:rPr>
          <w:rFonts w:hint="eastAsia" w:cs="Times New Roman"/>
          <w:color w:val="auto"/>
          <w:highlight w:val="none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highlight w:val="none"/>
          <w:lang w:val="en-US" w:eastAsia="zh-CN"/>
        </w:rPr>
        <w:t>为农用地，6583m</w:t>
      </w:r>
      <w:r>
        <w:rPr>
          <w:rFonts w:hint="eastAsia" w:cs="Times New Roman"/>
          <w:color w:val="auto"/>
          <w:highlight w:val="none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highlight w:val="none"/>
          <w:lang w:val="en-US" w:eastAsia="zh-CN"/>
        </w:rPr>
        <w:t>为建设用地，402m</w:t>
      </w:r>
      <w:r>
        <w:rPr>
          <w:rFonts w:hint="eastAsia" w:cs="Times New Roman"/>
          <w:color w:val="auto"/>
          <w:highlight w:val="none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highlight w:val="none"/>
          <w:lang w:val="en-US" w:eastAsia="zh-CN"/>
        </w:rPr>
        <w:t>为未利用地，未来规划用地性质为居住用地（07）</w:t>
      </w:r>
      <w:r>
        <w:rPr>
          <w:rFonts w:hint="default" w:cs="Times New Roman"/>
          <w:color w:val="auto"/>
          <w:highlight w:val="none"/>
          <w:lang w:val="en-US" w:eastAsia="zh-CN"/>
        </w:rPr>
        <w:t>。</w:t>
      </w:r>
    </w:p>
    <w:p w14:paraId="299D03EA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  <w:t>地块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内及周边地块污染识别情况</w:t>
      </w:r>
    </w:p>
    <w:p w14:paraId="32C3B82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cs="Times New Roman"/>
          <w:color w:val="auto"/>
          <w:highlight w:val="none"/>
          <w:lang w:val="en-US" w:eastAsia="zh-CN"/>
        </w:rPr>
        <w:t>通过资料收集、人员访谈了解到地块内历史上存在</w:t>
      </w:r>
      <w:r>
        <w:rPr>
          <w:rFonts w:hint="eastAsia" w:cs="Times New Roman"/>
          <w:lang w:val="en-US" w:eastAsia="zh-CN"/>
        </w:rPr>
        <w:t>华日家具、大江鱼粉厂及华鑫饲料厂</w:t>
      </w:r>
      <w:r>
        <w:rPr>
          <w:rFonts w:hint="eastAsia" w:ascii="Times New Roman" w:hAnsi="Times New Roman" w:eastAsia="宋体" w:cs="Times New Roman"/>
          <w:color w:val="auto"/>
          <w:highlight w:val="none"/>
          <w:lang w:val="en-US" w:eastAsia="zh-CN"/>
        </w:rPr>
        <w:t>。</w:t>
      </w:r>
      <w:r>
        <w:rPr>
          <w:rFonts w:hint="eastAsia" w:cs="Times New Roman"/>
          <w:color w:val="auto"/>
          <w:highlight w:val="none"/>
          <w:lang w:val="en-US" w:eastAsia="zh-CN"/>
        </w:rPr>
        <w:t>地块周边1000m范围内存在玉环市兴发金属有色管业有限公司、浙江海川化学品有限公司、玉环市大麦屿开发区电镀公司、台州汇硕海洋生物科技有限公司、浙江玉环五一电镀有限公司、浙江康华铜业有限公司、陈屿五金电镀厂这7家重点监管企业。</w:t>
      </w:r>
      <w:r>
        <w:rPr>
          <w:rFonts w:hint="eastAsia" w:ascii="Times New Roman" w:hAnsi="Times New Roman" w:eastAsia="宋体" w:cs="Times New Roman"/>
          <w:color w:val="auto"/>
          <w:highlight w:val="none"/>
          <w:lang w:val="en-US" w:eastAsia="zh-CN"/>
        </w:rPr>
        <w:t>通过对</w:t>
      </w:r>
      <w:r>
        <w:rPr>
          <w:rFonts w:hint="eastAsia" w:cs="Times New Roman"/>
          <w:color w:val="auto"/>
          <w:highlight w:val="none"/>
          <w:lang w:val="en-US" w:eastAsia="zh-CN"/>
        </w:rPr>
        <w:t>地块内及周边企业</w:t>
      </w:r>
      <w:r>
        <w:rPr>
          <w:rFonts w:hint="eastAsia" w:ascii="Times New Roman" w:hAnsi="Times New Roman" w:eastAsia="宋体" w:cs="Times New Roman"/>
          <w:color w:val="auto"/>
          <w:highlight w:val="none"/>
          <w:lang w:val="en-US" w:eastAsia="zh-CN"/>
        </w:rPr>
        <w:t>的分析，确定主要考虑的特征污染物为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六价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铬、总铬、铜、锌、铁、铅、锰、镍、二噁英、pH、石油烃（C10-C40）、氟化物、硫化物、氯化物、阴离子表面活性剂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、二甲苯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。</w:t>
      </w:r>
    </w:p>
    <w:p w14:paraId="695C237E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土壤及地下水采样监测工作</w:t>
      </w:r>
    </w:p>
    <w:p w14:paraId="49D8B380">
      <w:pPr>
        <w:pStyle w:val="8"/>
        <w:adjustRightInd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本次调查在地块内布设了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个土壤采样点、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口地下水监测井，在地块外布设了1个土壤兼地下水对照点，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同时对地块内的堆土进行采样，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送检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19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个土壤样品（含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个平行样品）、采集并送检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个地下水样品（含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个平行样）。</w:t>
      </w:r>
      <w:bookmarkStart w:id="0" w:name="_GoBack"/>
      <w:bookmarkEnd w:id="0"/>
    </w:p>
    <w:p w14:paraId="1708E7D7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评价标准</w:t>
      </w:r>
    </w:p>
    <w:p w14:paraId="1535707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根据本地块规划为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居住用地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，属于敏感用地，因此本地块参照《土壤环境质量 建设用地土壤污染风险管控标准（试行）》（GB36600-2018）“第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类用地”的风险筛选值、《建设用地土壤污染风险评估技术导则》DB33/T 892-2022中敏感用地筛选值，优先选择低筛选值进行对标分析，据分析两标准常规项目筛选值一致。</w:t>
      </w:r>
    </w:p>
    <w:p w14:paraId="4711009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地下水环境质量标准参照执行《地下水质量标准》（GB/T14848-2017）中的Ⅳ类标准，对于该标准未制定的因子，优先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参照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《上海市建设用地土壤污染状况调查、风险评估、风险管控与修复方案编制、风险管控与修复效果评估工作的补充规定（试行）》（沪环土[2020]62号）附件5上海市建设用地地下水污染风险管控筛选值补充指标的第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类用地筛选值，参考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《美国环保署区域环境质量筛选值（RSLs）》（202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）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。</w:t>
      </w:r>
    </w:p>
    <w:p w14:paraId="6825156E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结论</w:t>
      </w:r>
    </w:p>
    <w:p w14:paraId="77B8DBCD">
      <w:pPr>
        <w:pStyle w:val="4"/>
        <w:widowControl w:val="0"/>
        <w:adjustRightInd/>
        <w:spacing w:beforeAutospacing="0" w:afterAutospacing="0"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本次调查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共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布设</w:t>
      </w:r>
      <w:r>
        <w:rPr>
          <w:rFonts w:hint="eastAsia" w:cs="Times New Roman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个土壤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点位和</w:t>
      </w:r>
      <w:r>
        <w:rPr>
          <w:rFonts w:hint="eastAsia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口地下水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点位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eastAsia" w:cs="Times New Roman"/>
          <w:sz w:val="24"/>
          <w:szCs w:val="24"/>
          <w:lang w:val="en-US" w:eastAsia="zh-CN"/>
        </w:rPr>
        <w:t>同时对地块内的堆土进行采样，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采集了</w:t>
      </w:r>
      <w:r>
        <w:rPr>
          <w:rFonts w:hint="eastAsia" w:cs="Times New Roman"/>
          <w:sz w:val="24"/>
          <w:szCs w:val="24"/>
          <w:lang w:val="en-US" w:eastAsia="zh-CN"/>
        </w:rPr>
        <w:t>19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个土壤样品（含</w:t>
      </w:r>
      <w:r>
        <w:rPr>
          <w:rFonts w:hint="eastAsia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个平行样品）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和</w:t>
      </w:r>
      <w:r>
        <w:rPr>
          <w:rFonts w:hint="eastAsia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个地下水样品（含</w:t>
      </w:r>
      <w:r>
        <w:rPr>
          <w:rFonts w:hint="eastAsia" w:cs="Times New Roman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个平行样）。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土壤和地下水检测结果表明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该地块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所有土壤检测指标</w:t>
      </w:r>
      <w:r>
        <w:rPr>
          <w:rFonts w:hint="default" w:ascii="Times New Roman" w:hAnsi="Times New Roman" w:eastAsia="宋体" w:cs="Times New Roman"/>
          <w:sz w:val="24"/>
          <w:szCs w:val="24"/>
        </w:rPr>
        <w:t>均低于《土壤环境质量 建设用地土壤污染风险管控标准（试行）》（GB36600</w:t>
      </w:r>
      <w:r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4"/>
          <w:szCs w:val="24"/>
        </w:rPr>
        <w:t>2018）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z w:val="24"/>
          <w:szCs w:val="24"/>
        </w:rPr>
        <w:t>类用地的筛选值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《建设用地土壤污染风险评估技术导则》DB33/T892-2022中敏感用地筛选值</w:t>
      </w:r>
      <w:r>
        <w:rPr>
          <w:rFonts w:hint="default" w:ascii="Times New Roman" w:hAnsi="Times New Roman" w:eastAsia="宋体" w:cs="Times New Roman"/>
          <w:sz w:val="24"/>
          <w:szCs w:val="24"/>
        </w:rPr>
        <w:t>；地下水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除浊度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外，其他检测指标均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低于《地下水质量标准》（GB/T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14848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2017）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IV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类标准限值、《上海市建设用地地下水污染风险管控筛选值补充指标》（第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类用地筛选值（mg/L））、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《地表水环境质量标准》（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GB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3838-2002）Ⅳ类标准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《美国环保署区域环境质量筛选值（RSLs）》（202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）。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超标因子浊度无人体健康风险。</w:t>
      </w:r>
    </w:p>
    <w:p w14:paraId="53150A19">
      <w:pPr>
        <w:pStyle w:val="4"/>
        <w:widowControl w:val="0"/>
        <w:adjustRightInd/>
        <w:spacing w:beforeAutospacing="0" w:afterAutospacing="0" w:line="360" w:lineRule="auto"/>
        <w:ind w:firstLine="480" w:firstLineChars="200"/>
        <w:jc w:val="both"/>
        <w:rPr>
          <w:rFonts w:hint="eastAsia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</w:rPr>
        <w:t>综上本地块可以结束初步调查，无需开展进一步的详细调查及风险评估，满足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《国土空间调查、规划、用途管制用地用海分类指南》中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工矿用地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中的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居住用地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07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）的开发需求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</w:rPr>
        <w:t>，可为后续开发利用提供相关依据</w:t>
      </w:r>
      <w:r>
        <w:rPr>
          <w:rFonts w:hint="eastAsia"/>
          <w:sz w:val="24"/>
          <w:highlight w:val="none"/>
        </w:rPr>
        <w:t>。</w:t>
      </w:r>
    </w:p>
    <w:p w14:paraId="083C5A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B0CC0"/>
    <w:multiLevelType w:val="singleLevel"/>
    <w:tmpl w:val="266B0CC0"/>
    <w:lvl w:ilvl="0" w:tentative="0">
      <w:start w:val="1"/>
      <w:numFmt w:val="decimal"/>
      <w:suff w:val="nothing"/>
      <w:lvlText w:val="（%1）"/>
      <w:lvlJc w:val="left"/>
      <w:pPr>
        <w:tabs>
          <w:tab w:val="left" w:pos="0"/>
        </w:tabs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125BC"/>
    <w:rsid w:val="2D8125BC"/>
    <w:rsid w:val="3FEE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utoSpaceDE w:val="0"/>
      <w:autoSpaceDN w:val="0"/>
      <w:adjustRightInd w:val="0"/>
    </w:pPr>
    <w:rPr>
      <w:rFonts w:ascii="Book Antiqua" w:hAnsi="Book Antiqua" w:eastAsia="Times New Roman" w:cs="Times New Roman"/>
      <w:sz w:val="24"/>
      <w:szCs w:val="24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 w:val="0"/>
      <w:spacing w:line="360" w:lineRule="auto"/>
      <w:ind w:firstLine="541" w:firstLineChars="225"/>
      <w:textAlignment w:val="auto"/>
    </w:pPr>
    <w:rPr>
      <w:b/>
      <w:bCs/>
      <w:color w:val="auto"/>
      <w:kern w:val="2"/>
      <w:sz w:val="24"/>
      <w:u w:val="none" w:color="auto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</w:pPr>
    <w:rPr>
      <w:rFonts w:cs="Times New Roman"/>
      <w:sz w:val="24"/>
      <w:lang w:eastAsia="zh-CN"/>
    </w:rPr>
  </w:style>
  <w:style w:type="paragraph" w:customStyle="1" w:styleId="7">
    <w:name w:val="00正文zw"/>
    <w:basedOn w:val="1"/>
    <w:qFormat/>
    <w:uiPriority w:val="99"/>
    <w:pPr>
      <w:autoSpaceDE/>
      <w:autoSpaceDN/>
      <w:adjustRightInd/>
      <w:spacing w:line="480" w:lineRule="exact"/>
      <w:ind w:firstLine="200" w:firstLineChars="200"/>
    </w:pPr>
    <w:rPr>
      <w:rFonts w:ascii="Times New Roman" w:hAnsi="Times New Roman" w:eastAsia="宋体" w:cs="Times New Roman"/>
      <w:color w:val="000000"/>
      <w:sz w:val="24"/>
      <w:szCs w:val="24"/>
      <w:lang w:eastAsia="zh-CN"/>
    </w:rPr>
  </w:style>
  <w:style w:type="paragraph" w:customStyle="1" w:styleId="8">
    <w:name w:val="text"/>
    <w:basedOn w:val="1"/>
    <w:qFormat/>
    <w:uiPriority w:val="0"/>
    <w:pPr>
      <w:spacing w:line="360" w:lineRule="auto"/>
      <w:ind w:firstLine="480" w:firstLineChars="200"/>
      <w:jc w:val="both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2144</Words>
  <Characters>2510</Characters>
  <Lines>0</Lines>
  <Paragraphs>0</Paragraphs>
  <TotalTime>0</TotalTime>
  <ScaleCrop>false</ScaleCrop>
  <LinksUpToDate>false</LinksUpToDate>
  <CharactersWithSpaces>2519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2025-06-03T02:46:00Z</dcterms:created>
  <dc:creator>卟零</dc:creator>
  <cp:lastModifiedBy>董楚天</cp:lastModifiedBy>
  <dcterms:modified xsi:type="dcterms:W3CDTF">2025-11-18T02:43:26Z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A76CE48042E44D27B4D6CC9AFD656DE0_13</vt:lpwstr>
  </property>
  <property fmtid="{D5CDD505-2E9C-101B-9397-08002B2CF9AE}" pid="4" name="KSOTemplateDocerSaveRecord">
    <vt:lpwstr>eyJoZGlkIjoiNjUxYTRiYjU5YjBkZWFmZTM3NmI3OGQ3NTM2OTVjNmUiLCJ1c2VySWQiOiI0NzM4ODYxNjIifQ==</vt:lpwstr>
  </property>
</Properties>
</file>