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0E79C">
      <w:pPr>
        <w:autoSpaceDE/>
        <w:autoSpaceDN/>
        <w:adjustRightInd/>
        <w:jc w:val="center"/>
        <w:rPr>
          <w:rFonts w:ascii="Times New Roman" w:hAnsi="Times New Roman"/>
          <w:b/>
          <w:bCs/>
          <w:sz w:val="44"/>
          <w:szCs w:val="44"/>
          <w:highlight w:val="none"/>
          <w:lang w:eastAsia="zh-CN"/>
        </w:rPr>
      </w:pPr>
      <w:bookmarkStart w:id="0" w:name="_GoBack"/>
      <w:bookmarkEnd w:id="0"/>
      <w:r>
        <w:rPr>
          <w:rFonts w:hint="eastAsia" w:ascii="宋体" w:hAnsi="宋体" w:eastAsia="宋体" w:cs="宋体"/>
          <w:b/>
          <w:bCs/>
          <w:sz w:val="44"/>
          <w:szCs w:val="44"/>
          <w:highlight w:val="none"/>
          <w:lang w:eastAsia="zh-CN"/>
        </w:rPr>
        <w:t>摘</w:t>
      </w:r>
      <w:r>
        <w:rPr>
          <w:rFonts w:ascii="Times New Roman" w:hAnsi="Times New Roman"/>
          <w:b/>
          <w:bCs/>
          <w:sz w:val="44"/>
          <w:szCs w:val="44"/>
          <w:highlight w:val="none"/>
          <w:lang w:eastAsia="zh-CN"/>
        </w:rPr>
        <w:t xml:space="preserve">  </w:t>
      </w:r>
      <w:r>
        <w:rPr>
          <w:rFonts w:hint="eastAsia" w:ascii="宋体" w:hAnsi="宋体" w:eastAsia="宋体" w:cs="宋体"/>
          <w:b/>
          <w:bCs/>
          <w:sz w:val="44"/>
          <w:szCs w:val="44"/>
          <w:highlight w:val="none"/>
          <w:lang w:eastAsia="zh-CN"/>
        </w:rPr>
        <w:t>要</w:t>
      </w:r>
    </w:p>
    <w:p w14:paraId="40929EC6">
      <w:pPr>
        <w:autoSpaceDE w:val="0"/>
        <w:autoSpaceDN w:val="0"/>
        <w:adjustRightInd w:val="0"/>
        <w:snapToGrid/>
        <w:spacing w:line="360" w:lineRule="auto"/>
        <w:ind w:firstLine="480" w:firstLineChars="200"/>
        <w:rPr>
          <w:rFonts w:hint="default" w:ascii="Times New Roman" w:hAnsi="Times New Roman" w:eastAsia="宋体" w:cs="Times New Roman"/>
          <w:highlight w:val="none"/>
        </w:rPr>
      </w:pPr>
      <w:r>
        <w:rPr>
          <w:rFonts w:hint="eastAsia" w:cs="Times New Roman"/>
          <w:color w:val="auto"/>
          <w:highlight w:val="none"/>
          <w:lang w:eastAsia="zh-CN"/>
        </w:rPr>
        <w:t>长兴县林城镇新农村建设2个地块土壤污染状况项目（以下简称“本项目”）</w:t>
      </w:r>
      <w:r>
        <w:rPr>
          <w:rFonts w:hint="eastAsia" w:cs="Times New Roman"/>
          <w:color w:val="auto"/>
          <w:highlight w:val="none"/>
          <w:lang w:val="en-US" w:eastAsia="zh-CN"/>
        </w:rPr>
        <w:t>2个地块分</w:t>
      </w:r>
      <w:r>
        <w:rPr>
          <w:rFonts w:hint="eastAsia" w:eastAsia="宋体" w:cs="Times New Roman"/>
          <w:color w:val="auto"/>
          <w:highlight w:val="none"/>
          <w:lang w:val="en-US" w:eastAsia="zh-CN"/>
        </w:rPr>
        <w:t>别为</w:t>
      </w:r>
      <w:r>
        <w:rPr>
          <w:rFonts w:hint="default" w:eastAsia="宋体" w:cs="Times New Roman"/>
          <w:color w:val="auto"/>
          <w:highlight w:val="none"/>
          <w:lang w:eastAsia="zh-CN"/>
        </w:rPr>
        <w:t>BG25-177林城镇天平村新村聚集点2025-1号地块</w:t>
      </w:r>
      <w:r>
        <w:rPr>
          <w:rFonts w:hint="eastAsia" w:eastAsia="宋体" w:cs="Times New Roman"/>
          <w:color w:val="auto"/>
          <w:highlight w:val="none"/>
          <w:lang w:val="en-US" w:eastAsia="zh-CN"/>
        </w:rPr>
        <w:t>和</w:t>
      </w:r>
      <w:r>
        <w:rPr>
          <w:rFonts w:hint="default" w:eastAsia="宋体" w:cs="Times New Roman"/>
          <w:color w:val="auto"/>
          <w:highlight w:val="none"/>
          <w:lang w:eastAsia="zh-CN"/>
        </w:rPr>
        <w:t>BG25-185林城镇方山窑村新村安置点2025-1号地块</w:t>
      </w:r>
      <w:r>
        <w:rPr>
          <w:rFonts w:hint="eastAsia" w:eastAsia="宋体" w:cs="Times New Roman"/>
          <w:color w:val="auto"/>
          <w:highlight w:val="none"/>
          <w:lang w:eastAsia="zh-CN"/>
        </w:rPr>
        <w:t>，</w:t>
      </w:r>
      <w:r>
        <w:rPr>
          <w:rFonts w:hint="eastAsia" w:cs="Times New Roman"/>
          <w:color w:val="auto"/>
          <w:highlight w:val="none"/>
          <w:lang w:eastAsia="zh-CN"/>
        </w:rPr>
        <w:t>共计</w:t>
      </w:r>
      <w:r>
        <w:rPr>
          <w:rFonts w:hint="eastAsia" w:cs="Times New Roman"/>
          <w:color w:val="auto"/>
          <w:highlight w:val="none"/>
          <w:lang w:val="en-US" w:eastAsia="zh-CN"/>
        </w:rPr>
        <w:t>2个地块，</w:t>
      </w:r>
      <w:r>
        <w:rPr>
          <w:rFonts w:hint="default" w:ascii="Times New Roman" w:hAnsi="Times New Roman" w:eastAsia="宋体" w:cs="Times New Roman"/>
          <w:color w:val="auto"/>
          <w:highlight w:val="none"/>
        </w:rPr>
        <w:t>地块</w:t>
      </w:r>
      <w:r>
        <w:rPr>
          <w:rFonts w:hint="eastAsia" w:cs="Times New Roman"/>
          <w:color w:val="auto"/>
          <w:highlight w:val="none"/>
          <w:lang w:eastAsia="zh-CN"/>
        </w:rPr>
        <w:t>均位于各自村庄内，本项目</w:t>
      </w:r>
      <w:r>
        <w:rPr>
          <w:rFonts w:hint="eastAsia" w:cs="Times New Roman"/>
          <w:color w:val="auto"/>
          <w:highlight w:val="none"/>
          <w:lang w:val="en-US" w:eastAsia="zh-CN"/>
        </w:rPr>
        <w:t>2个地块</w:t>
      </w:r>
      <w:r>
        <w:rPr>
          <w:rFonts w:hint="eastAsia" w:cs="Times New Roman"/>
          <w:color w:val="auto"/>
          <w:highlight w:val="none"/>
          <w:lang w:eastAsia="zh-CN"/>
        </w:rPr>
        <w:t>总用地面积</w:t>
      </w:r>
      <w:r>
        <w:rPr>
          <w:rFonts w:hint="default" w:ascii="Times New Roman" w:hAnsi="Times New Roman" w:eastAsia="宋体" w:cs="Times New Roman"/>
          <w:color w:val="auto"/>
          <w:highlight w:val="none"/>
        </w:rPr>
        <w:t>约</w:t>
      </w:r>
      <w:r>
        <w:rPr>
          <w:rFonts w:hint="eastAsia" w:cs="Times New Roman"/>
          <w:color w:val="auto"/>
          <w:highlight w:val="none"/>
          <w:lang w:val="en-US" w:eastAsia="zh-CN"/>
        </w:rPr>
        <w:t>11345</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2</w:t>
      </w:r>
      <w:r>
        <w:rPr>
          <w:rFonts w:hint="default" w:ascii="Times New Roman" w:hAnsi="Times New Roman" w:eastAsia="宋体" w:cs="Times New Roman"/>
          <w:highlight w:val="none"/>
        </w:rPr>
        <w:t>。</w:t>
      </w:r>
    </w:p>
    <w:p w14:paraId="2052F50E">
      <w:pPr>
        <w:autoSpaceDE w:val="0"/>
        <w:autoSpaceDN w:val="0"/>
        <w:adjustRightInd w:val="0"/>
        <w:snapToGrid/>
        <w:spacing w:line="360" w:lineRule="auto"/>
        <w:ind w:firstLine="480" w:firstLineChars="200"/>
        <w:rPr>
          <w:rFonts w:hint="eastAsia" w:ascii="Times New Roman" w:hAnsi="Times New Roman" w:eastAsia="宋体" w:cs="Times New Roman"/>
          <w:lang w:val="en-US" w:eastAsia="zh-CN"/>
        </w:rPr>
      </w:pPr>
      <w:r>
        <w:rPr>
          <w:rFonts w:hint="default" w:ascii="Times New Roman" w:hAnsi="Times New Roman" w:eastAsia="宋体" w:cs="Times New Roman"/>
        </w:rPr>
        <w:t>本项目</w:t>
      </w:r>
      <w:r>
        <w:rPr>
          <w:rFonts w:hint="eastAsia" w:cs="Times New Roman"/>
          <w:lang w:val="en-US" w:eastAsia="zh-CN"/>
        </w:rPr>
        <w:t>2</w:t>
      </w:r>
      <w:r>
        <w:rPr>
          <w:rFonts w:hint="eastAsia" w:cs="Times New Roman"/>
          <w:lang w:eastAsia="zh-CN"/>
        </w:rPr>
        <w:t>个</w:t>
      </w:r>
      <w:r>
        <w:rPr>
          <w:rFonts w:hint="default" w:ascii="Times New Roman" w:hAnsi="Times New Roman" w:eastAsia="宋体" w:cs="Times New Roman"/>
        </w:rPr>
        <w:t>地块原用地性质均为农用地</w:t>
      </w:r>
      <w:r>
        <w:rPr>
          <w:rFonts w:hint="eastAsia" w:cs="Times New Roman"/>
          <w:lang w:eastAsia="zh-CN"/>
        </w:rPr>
        <w:t>（主要为林地、</w:t>
      </w:r>
      <w:r>
        <w:rPr>
          <w:rFonts w:hint="eastAsia" w:cs="Times New Roman"/>
          <w:lang w:val="en-US" w:eastAsia="zh-CN"/>
        </w:rPr>
        <w:t>园地</w:t>
      </w:r>
      <w:r>
        <w:rPr>
          <w:rFonts w:hint="eastAsia" w:cs="Times New Roman"/>
          <w:lang w:eastAsia="zh-CN"/>
        </w:rPr>
        <w:t>）</w:t>
      </w:r>
      <w:r>
        <w:rPr>
          <w:rFonts w:hint="default" w:ascii="Times New Roman" w:hAnsi="Times New Roman" w:eastAsia="宋体" w:cs="Times New Roman"/>
        </w:rPr>
        <w:t>，</w:t>
      </w:r>
      <w:r>
        <w:rPr>
          <w:rFonts w:hint="eastAsia" w:cs="Times New Roman"/>
          <w:lang w:val="en-US" w:eastAsia="zh-CN"/>
        </w:rPr>
        <w:t>规划</w:t>
      </w:r>
      <w:r>
        <w:rPr>
          <w:rFonts w:hint="default" w:ascii="Times New Roman" w:hAnsi="Times New Roman" w:eastAsia="宋体" w:cs="Times New Roman"/>
        </w:rPr>
        <w:t>用地性质由农用地变更为居住用地</w:t>
      </w:r>
      <w:r>
        <w:rPr>
          <w:rFonts w:hint="eastAsia" w:cs="Times New Roman"/>
          <w:lang w:val="en-US" w:eastAsia="zh-CN"/>
        </w:rPr>
        <w:t>。</w:t>
      </w:r>
    </w:p>
    <w:p w14:paraId="6BD98886">
      <w:pPr>
        <w:autoSpaceDE w:val="0"/>
        <w:autoSpaceDN w:val="0"/>
        <w:adjustRightInd w:val="0"/>
        <w:snapToGrid/>
        <w:spacing w:line="360" w:lineRule="auto"/>
        <w:ind w:firstLine="480" w:firstLineChars="200"/>
        <w:rPr>
          <w:rFonts w:hint="eastAsia" w:cs="Times New Roman"/>
          <w:lang w:eastAsia="zh-CN"/>
        </w:rPr>
      </w:pPr>
      <w:r>
        <w:rPr>
          <w:rFonts w:hint="eastAsia" w:cs="Times New Roman"/>
          <w:highlight w:val="none"/>
          <w:lang w:val="en-US" w:eastAsia="zh-CN"/>
        </w:rPr>
        <w:t>参照湖州市生态环境局湖州市白然资源和规划局湖州市住房和城乡建设局关于印发《湖州市建设用地土壤污染风险管控和修复监督管理工作指南</w:t>
      </w:r>
      <w:r>
        <w:rPr>
          <w:rFonts w:hint="default" w:ascii="Times New Roman" w:hAnsi="Times New Roman" w:eastAsia="宋体" w:cs="Times New Roman"/>
          <w:highlight w:val="none"/>
        </w:rPr>
        <w:t>（</w:t>
      </w:r>
      <w:r>
        <w:rPr>
          <w:rFonts w:hint="eastAsia" w:cs="Times New Roman"/>
          <w:highlight w:val="none"/>
          <w:lang w:val="en-US" w:eastAsia="zh-CN"/>
        </w:rPr>
        <w:t>2025 年版</w:t>
      </w:r>
      <w:r>
        <w:rPr>
          <w:rFonts w:hint="default" w:ascii="Times New Roman" w:hAnsi="Times New Roman" w:eastAsia="宋体" w:cs="Times New Roman"/>
          <w:highlight w:val="none"/>
        </w:rPr>
        <w:t>）</w:t>
      </w:r>
      <w:r>
        <w:rPr>
          <w:rFonts w:hint="eastAsia" w:cs="Times New Roman"/>
          <w:highlight w:val="none"/>
          <w:lang w:val="en-US" w:eastAsia="zh-CN"/>
        </w:rPr>
        <w:t>》的通知湖</w:t>
      </w:r>
      <w:r>
        <w:rPr>
          <w:rFonts w:hint="default" w:ascii="Times New Roman" w:hAnsi="Times New Roman" w:eastAsia="宋体" w:cs="Times New Roman"/>
          <w:highlight w:val="none"/>
        </w:rPr>
        <w:t>环发〔202</w:t>
      </w:r>
      <w:r>
        <w:rPr>
          <w:rFonts w:hint="eastAsia" w:cs="Times New Roman"/>
          <w:highlight w:val="none"/>
          <w:lang w:val="en-US" w:eastAsia="zh-CN"/>
        </w:rPr>
        <w:t>5</w:t>
      </w:r>
      <w:r>
        <w:rPr>
          <w:rFonts w:hint="default" w:ascii="Times New Roman" w:hAnsi="Times New Roman" w:eastAsia="宋体" w:cs="Times New Roman"/>
          <w:highlight w:val="none"/>
        </w:rPr>
        <w:t>〕</w:t>
      </w:r>
      <w:r>
        <w:rPr>
          <w:rFonts w:hint="eastAsia" w:cs="Times New Roman"/>
          <w:highlight w:val="none"/>
          <w:lang w:val="en-US" w:eastAsia="zh-CN"/>
        </w:rPr>
        <w:t>10</w:t>
      </w:r>
      <w:r>
        <w:rPr>
          <w:rFonts w:hint="default" w:ascii="Times New Roman" w:hAnsi="Times New Roman" w:eastAsia="宋体" w:cs="Times New Roman"/>
          <w:highlight w:val="none"/>
        </w:rPr>
        <w:t>号</w:t>
      </w:r>
      <w:r>
        <w:rPr>
          <w:rFonts w:hint="eastAsia" w:cs="Times New Roman"/>
          <w:highlight w:val="none"/>
          <w:lang w:eastAsia="zh-CN"/>
        </w:rPr>
        <w:t>，属于甲类地块且原用</w:t>
      </w:r>
      <w:r>
        <w:rPr>
          <w:rFonts w:hint="eastAsia" w:cs="Times New Roman"/>
          <w:lang w:eastAsia="zh-CN"/>
        </w:rPr>
        <w:t>途为农用地或未利用地的，同时满足以下条件的，相应的土壤污染调查以污染识别为主，可不进行采样检测：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3169"/>
        <w:gridCol w:w="3458"/>
        <w:gridCol w:w="1112"/>
      </w:tblGrid>
      <w:tr w14:paraId="02130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1C5DF2D7">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序号</w:t>
            </w:r>
          </w:p>
        </w:tc>
        <w:tc>
          <w:tcPr>
            <w:tcW w:w="3610" w:type="dxa"/>
            <w:vAlign w:val="center"/>
          </w:tcPr>
          <w:p w14:paraId="615CD80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rPr>
              <w:t>［202</w:t>
            </w:r>
            <w:r>
              <w:rPr>
                <w:rFonts w:hint="default" w:ascii="Times New Roman" w:hAnsi="Times New Roman" w:eastAsia="宋体" w:cs="Times New Roman"/>
                <w:b w:val="0"/>
                <w:bCs w:val="0"/>
                <w:sz w:val="20"/>
                <w:szCs w:val="20"/>
                <w:lang w:val="en-US" w:eastAsia="zh-CN"/>
              </w:rPr>
              <w:t>4</w:t>
            </w:r>
            <w:r>
              <w:rPr>
                <w:rFonts w:hint="default" w:ascii="Times New Roman" w:hAnsi="Times New Roman" w:eastAsia="宋体" w:cs="Times New Roman"/>
                <w:b w:val="0"/>
                <w:bCs w:val="0"/>
                <w:sz w:val="20"/>
                <w:szCs w:val="20"/>
              </w:rPr>
              <w:t>］</w:t>
            </w:r>
            <w:r>
              <w:rPr>
                <w:rFonts w:hint="default" w:ascii="Times New Roman" w:hAnsi="Times New Roman" w:eastAsia="宋体" w:cs="Times New Roman"/>
                <w:b w:val="0"/>
                <w:bCs w:val="0"/>
                <w:sz w:val="20"/>
                <w:szCs w:val="20"/>
                <w:lang w:val="en-US" w:eastAsia="zh-CN"/>
              </w:rPr>
              <w:t>47</w:t>
            </w:r>
            <w:r>
              <w:rPr>
                <w:rFonts w:hint="default" w:ascii="Times New Roman" w:hAnsi="Times New Roman" w:eastAsia="宋体" w:cs="Times New Roman"/>
                <w:b w:val="0"/>
                <w:bCs w:val="0"/>
                <w:sz w:val="20"/>
                <w:szCs w:val="20"/>
              </w:rPr>
              <w:t>号</w:t>
            </w:r>
            <w:r>
              <w:rPr>
                <w:rFonts w:hint="default" w:ascii="Times New Roman" w:hAnsi="Times New Roman" w:eastAsia="宋体" w:cs="Times New Roman"/>
                <w:b w:val="0"/>
                <w:bCs w:val="0"/>
                <w:sz w:val="20"/>
                <w:szCs w:val="20"/>
                <w:lang w:val="en-US" w:eastAsia="zh-CN"/>
              </w:rPr>
              <w:t>规定</w:t>
            </w:r>
          </w:p>
        </w:tc>
        <w:tc>
          <w:tcPr>
            <w:tcW w:w="4040" w:type="dxa"/>
            <w:vAlign w:val="center"/>
          </w:tcPr>
          <w:p w14:paraId="53AD3440">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本地块情况</w:t>
            </w:r>
          </w:p>
        </w:tc>
        <w:tc>
          <w:tcPr>
            <w:tcW w:w="1254" w:type="dxa"/>
            <w:vAlign w:val="center"/>
          </w:tcPr>
          <w:p w14:paraId="7D56135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满足与否</w:t>
            </w:r>
          </w:p>
        </w:tc>
      </w:tr>
      <w:tr w14:paraId="7957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24F351B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一</w:t>
            </w:r>
          </w:p>
        </w:tc>
        <w:tc>
          <w:tcPr>
            <w:tcW w:w="3610" w:type="dxa"/>
            <w:vAlign w:val="center"/>
          </w:tcPr>
          <w:p w14:paraId="43143B3B">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未曾涉及工矿企业用途、规模化畜禽养殖、有毒有害物质贮存或输送的</w:t>
            </w:r>
          </w:p>
        </w:tc>
        <w:tc>
          <w:tcPr>
            <w:tcW w:w="4040" w:type="dxa"/>
            <w:vAlign w:val="center"/>
          </w:tcPr>
          <w:p w14:paraId="625E190B">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经调查本地块历史上未曾涉及</w:t>
            </w:r>
            <w:r>
              <w:rPr>
                <w:rFonts w:hint="default" w:ascii="Times New Roman" w:hAnsi="Times New Roman" w:eastAsia="宋体" w:cs="Times New Roman"/>
                <w:b w:val="0"/>
                <w:bCs w:val="0"/>
                <w:sz w:val="20"/>
                <w:szCs w:val="20"/>
              </w:rPr>
              <w:t>工矿企业用途、规模化畜禽养殖、有毒有害物质贮存或输送</w:t>
            </w:r>
            <w:r>
              <w:rPr>
                <w:rFonts w:hint="default" w:ascii="Times New Roman" w:hAnsi="Times New Roman" w:eastAsia="宋体" w:cs="Times New Roman"/>
                <w:b w:val="0"/>
                <w:bCs w:val="0"/>
                <w:sz w:val="20"/>
                <w:szCs w:val="20"/>
                <w:lang w:eastAsia="zh-CN"/>
              </w:rPr>
              <w:t>。</w:t>
            </w:r>
          </w:p>
        </w:tc>
        <w:tc>
          <w:tcPr>
            <w:tcW w:w="1254" w:type="dxa"/>
            <w:vAlign w:val="center"/>
          </w:tcPr>
          <w:p w14:paraId="3E47CBF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3CB3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7870B05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二</w:t>
            </w:r>
          </w:p>
        </w:tc>
        <w:tc>
          <w:tcPr>
            <w:tcW w:w="3610" w:type="dxa"/>
            <w:vAlign w:val="center"/>
          </w:tcPr>
          <w:p w14:paraId="5B88469A">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未曾涉及生态环境污染事故、废水排放、固体废物堆放、固体废物倾倒或填埋的</w:t>
            </w:r>
          </w:p>
        </w:tc>
        <w:tc>
          <w:tcPr>
            <w:tcW w:w="4040" w:type="dxa"/>
            <w:vAlign w:val="center"/>
          </w:tcPr>
          <w:p w14:paraId="21E2604E">
            <w:pPr>
              <w:spacing w:line="240" w:lineRule="auto"/>
              <w:ind w:left="0" w:right="0" w:firstLine="0" w:firstLineChars="0"/>
              <w:jc w:val="center"/>
              <w:rPr>
                <w:rFonts w:hint="default" w:ascii="Times New Roman" w:hAnsi="Times New Roman" w:eastAsia="宋体" w:cs="Times New Roman"/>
                <w:b w:val="0"/>
                <w:bCs w:val="0"/>
                <w:sz w:val="20"/>
                <w:szCs w:val="20"/>
                <w:lang w:eastAsia="zh-CN"/>
              </w:rPr>
            </w:pPr>
            <w:r>
              <w:rPr>
                <w:rFonts w:hint="default" w:ascii="Times New Roman" w:hAnsi="Times New Roman" w:eastAsia="宋体" w:cs="Times New Roman"/>
                <w:b w:val="0"/>
                <w:bCs w:val="0"/>
                <w:sz w:val="20"/>
                <w:szCs w:val="20"/>
                <w:lang w:eastAsia="zh-CN"/>
              </w:rPr>
              <w:t>经调查本地块历史上</w:t>
            </w:r>
            <w:r>
              <w:rPr>
                <w:rFonts w:hint="default" w:ascii="Times New Roman" w:hAnsi="Times New Roman" w:eastAsia="宋体" w:cs="Times New Roman"/>
                <w:b w:val="0"/>
                <w:bCs w:val="0"/>
                <w:sz w:val="20"/>
                <w:szCs w:val="20"/>
              </w:rPr>
              <w:t>未曾涉及生态环境污染事故、废水排放、固体废物堆放、固体废物倾倒或填埋</w:t>
            </w:r>
            <w:r>
              <w:rPr>
                <w:rFonts w:hint="default" w:ascii="Times New Roman" w:hAnsi="Times New Roman" w:eastAsia="宋体" w:cs="Times New Roman"/>
                <w:b w:val="0"/>
                <w:bCs w:val="0"/>
                <w:sz w:val="20"/>
                <w:szCs w:val="20"/>
                <w:lang w:eastAsia="zh-CN"/>
              </w:rPr>
              <w:t>。</w:t>
            </w:r>
          </w:p>
        </w:tc>
        <w:tc>
          <w:tcPr>
            <w:tcW w:w="1254" w:type="dxa"/>
            <w:vAlign w:val="center"/>
          </w:tcPr>
          <w:p w14:paraId="59583CC0">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5C719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3D5CF9D9">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三</w:t>
            </w:r>
          </w:p>
        </w:tc>
        <w:tc>
          <w:tcPr>
            <w:tcW w:w="3610" w:type="dxa"/>
            <w:vAlign w:val="center"/>
          </w:tcPr>
          <w:p w14:paraId="10E675D4">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历史监测或</w:t>
            </w:r>
            <w:r>
              <w:rPr>
                <w:rFonts w:hint="default" w:ascii="Times New Roman" w:hAnsi="Times New Roman" w:eastAsia="宋体" w:cs="Times New Roman"/>
                <w:b w:val="0"/>
                <w:bCs w:val="0"/>
                <w:sz w:val="20"/>
                <w:szCs w:val="20"/>
                <w:lang w:val="en-US" w:eastAsia="zh-CN"/>
              </w:rPr>
              <w:t>现场快筛</w:t>
            </w:r>
            <w:r>
              <w:rPr>
                <w:rFonts w:hint="default" w:ascii="Times New Roman" w:hAnsi="Times New Roman" w:eastAsia="宋体" w:cs="Times New Roman"/>
                <w:b w:val="0"/>
                <w:bCs w:val="0"/>
                <w:sz w:val="20"/>
                <w:szCs w:val="20"/>
              </w:rPr>
              <w:t>表明不存在土壤或地下水污染的</w:t>
            </w:r>
          </w:p>
        </w:tc>
        <w:tc>
          <w:tcPr>
            <w:tcW w:w="4040" w:type="dxa"/>
            <w:vAlign w:val="center"/>
          </w:tcPr>
          <w:p w14:paraId="5F579F6A">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w:t>
            </w:r>
            <w:r>
              <w:rPr>
                <w:rFonts w:hint="default" w:ascii="Times New Roman" w:hAnsi="Times New Roman" w:eastAsia="宋体" w:cs="Times New Roman"/>
                <w:b w:val="0"/>
                <w:bCs w:val="0"/>
                <w:sz w:val="20"/>
                <w:szCs w:val="20"/>
                <w:lang w:val="en-US" w:eastAsia="zh-CN"/>
              </w:rPr>
              <w:t>及</w:t>
            </w:r>
            <w:r>
              <w:rPr>
                <w:rFonts w:hint="default" w:ascii="Times New Roman" w:hAnsi="Times New Roman" w:eastAsia="宋体" w:cs="Times New Roman"/>
                <w:b w:val="0"/>
                <w:bCs w:val="0"/>
                <w:sz w:val="20"/>
                <w:szCs w:val="20"/>
                <w:lang w:eastAsia="zh-CN"/>
              </w:rPr>
              <w:t>紧邻地块不存在土壤或地下水污染。</w:t>
            </w:r>
          </w:p>
        </w:tc>
        <w:tc>
          <w:tcPr>
            <w:tcW w:w="1254" w:type="dxa"/>
            <w:vAlign w:val="center"/>
          </w:tcPr>
          <w:p w14:paraId="77890AB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551F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317185F7">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四</w:t>
            </w:r>
          </w:p>
        </w:tc>
        <w:tc>
          <w:tcPr>
            <w:tcW w:w="3610" w:type="dxa"/>
            <w:vAlign w:val="center"/>
          </w:tcPr>
          <w:p w14:paraId="3C8F5893">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eastAsia" w:ascii="Times New Roman" w:hAnsi="Times New Roman" w:eastAsia="宋体" w:cs="Times New Roman"/>
                <w:b w:val="0"/>
                <w:bCs w:val="0"/>
                <w:sz w:val="20"/>
                <w:szCs w:val="20"/>
                <w:lang w:eastAsia="zh-CN"/>
              </w:rPr>
              <w:t>现场检查或踏勘表明不存在土壤或地下水污染迹象的，且不存在紧邻污染源、1公里范围内无重点行业企业直接影响的</w:t>
            </w:r>
          </w:p>
        </w:tc>
        <w:tc>
          <w:tcPr>
            <w:tcW w:w="4040" w:type="dxa"/>
            <w:vAlign w:val="center"/>
          </w:tcPr>
          <w:p w14:paraId="7DA1C298">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经调查本地块现场踏勘不存在土壤及地下水污染迹象，同时不存在紧邻周边污染源</w:t>
            </w:r>
            <w:r>
              <w:rPr>
                <w:rFonts w:hint="eastAsia" w:eastAsia="宋体" w:cs="Times New Roman"/>
                <w:b w:val="0"/>
                <w:bCs w:val="0"/>
                <w:sz w:val="20"/>
                <w:szCs w:val="20"/>
                <w:lang w:eastAsia="zh-CN"/>
              </w:rPr>
              <w:t>、</w:t>
            </w:r>
            <w:r>
              <w:rPr>
                <w:rFonts w:hint="eastAsia" w:eastAsia="宋体" w:cs="Times New Roman"/>
                <w:b w:val="0"/>
                <w:bCs w:val="0"/>
                <w:sz w:val="20"/>
                <w:szCs w:val="20"/>
                <w:lang w:val="en-US" w:eastAsia="zh-CN"/>
              </w:rPr>
              <w:t>1公里范围内无重点行业企业</w:t>
            </w:r>
            <w:r>
              <w:rPr>
                <w:rFonts w:hint="default" w:ascii="Times New Roman" w:hAnsi="Times New Roman" w:eastAsia="宋体" w:cs="Times New Roman"/>
                <w:b w:val="0"/>
                <w:bCs w:val="0"/>
                <w:sz w:val="20"/>
                <w:szCs w:val="20"/>
                <w:lang w:eastAsia="zh-CN"/>
              </w:rPr>
              <w:t>直接影响</w:t>
            </w:r>
          </w:p>
        </w:tc>
        <w:tc>
          <w:tcPr>
            <w:tcW w:w="1254" w:type="dxa"/>
            <w:vAlign w:val="center"/>
          </w:tcPr>
          <w:p w14:paraId="0F6B9D5A">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43EC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76D8D73C">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五</w:t>
            </w:r>
          </w:p>
        </w:tc>
        <w:tc>
          <w:tcPr>
            <w:tcW w:w="3610" w:type="dxa"/>
            <w:vAlign w:val="center"/>
          </w:tcPr>
          <w:p w14:paraId="128D28FD">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相关用地历史、污染状况等资料齐全，能够排除污染可能性的</w:t>
            </w:r>
          </w:p>
        </w:tc>
        <w:tc>
          <w:tcPr>
            <w:tcW w:w="4040" w:type="dxa"/>
            <w:vAlign w:val="center"/>
          </w:tcPr>
          <w:p w14:paraId="41DEA831">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依据本地块历史影像图、人员访谈、周边地块场地调查报告等，可排除本地块受污染的可能性</w:t>
            </w:r>
          </w:p>
        </w:tc>
        <w:tc>
          <w:tcPr>
            <w:tcW w:w="1254" w:type="dxa"/>
            <w:vAlign w:val="center"/>
          </w:tcPr>
          <w:p w14:paraId="708D32F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bl>
    <w:p w14:paraId="3D3FF22C">
      <w:pPr>
        <w:autoSpaceDE w:val="0"/>
        <w:autoSpaceDN w:val="0"/>
        <w:snapToGrid/>
        <w:spacing w:line="360" w:lineRule="auto"/>
        <w:ind w:firstLine="480" w:firstLineChars="200"/>
        <w:jc w:val="left"/>
        <w:rPr>
          <w:rFonts w:hint="eastAsia" w:cs="Times New Roman"/>
          <w:lang w:eastAsia="zh-CN"/>
        </w:rPr>
      </w:pPr>
      <w:r>
        <w:rPr>
          <w:rFonts w:hint="default" w:ascii="Times New Roman" w:hAnsi="Times New Roman" w:cs="Times New Roman"/>
          <w:lang w:val="en-US" w:eastAsia="zh-CN"/>
        </w:rPr>
        <w:t>根据资料收集、现场踏勘及人员访谈等调查，</w:t>
      </w:r>
      <w:r>
        <w:rPr>
          <w:rFonts w:hint="default" w:ascii="Times New Roman" w:hAnsi="Times New Roman" w:cs="Times New Roman"/>
        </w:rPr>
        <w:t>经</w:t>
      </w:r>
      <w:r>
        <w:rPr>
          <w:rFonts w:hint="default" w:ascii="Times New Roman" w:hAnsi="Times New Roman" w:cs="Times New Roman"/>
          <w:lang w:val="en-US" w:eastAsia="zh-CN"/>
        </w:rPr>
        <w:t>逐条对比</w:t>
      </w:r>
      <w:r>
        <w:rPr>
          <w:rFonts w:hint="default" w:ascii="Times New Roman" w:hAnsi="Times New Roman" w:cs="Times New Roman"/>
        </w:rPr>
        <w:t>分析认为</w:t>
      </w:r>
      <w:r>
        <w:rPr>
          <w:rFonts w:hint="default" w:ascii="Times New Roman" w:hAnsi="Times New Roman" w:cs="Times New Roman"/>
          <w:lang w:val="en-US" w:eastAsia="zh-CN"/>
        </w:rPr>
        <w:t>地块满足不进行采样检测的条件</w:t>
      </w:r>
      <w:r>
        <w:rPr>
          <w:rFonts w:hint="eastAsia" w:cs="Times New Roman"/>
          <w:lang w:eastAsia="zh-CN"/>
        </w:rPr>
        <w:t>，</w:t>
      </w:r>
      <w:r>
        <w:rPr>
          <w:rFonts w:hint="default" w:ascii="Times New Roman" w:hAnsi="Times New Roman" w:cs="Times New Roman"/>
        </w:rPr>
        <w:t>判断</w:t>
      </w:r>
      <w:r>
        <w:rPr>
          <w:rFonts w:hint="eastAsia" w:cs="Times New Roman"/>
          <w:lang w:val="en-US" w:eastAsia="zh-CN"/>
        </w:rPr>
        <w:t>本项目各地块</w:t>
      </w:r>
      <w:r>
        <w:rPr>
          <w:rFonts w:hint="default" w:ascii="Times New Roman" w:hAnsi="Times New Roman" w:cs="Times New Roman"/>
        </w:rPr>
        <w:t>内不具有潜在污染风险，地块周边历史用途对本地块土壤环境质量造成污染的可能性较小，为进一步排除地块存在潜在污染可能性的区域，本次土壤现状调查通过表层土壤快筛监测的方式了解土壤环境质量现状。</w:t>
      </w:r>
    </w:p>
    <w:p w14:paraId="371F40F5">
      <w:pPr>
        <w:autoSpaceDE w:val="0"/>
        <w:autoSpaceDN w:val="0"/>
        <w:snapToGrid/>
        <w:spacing w:line="360" w:lineRule="auto"/>
        <w:ind w:firstLine="480" w:firstLineChars="200"/>
        <w:jc w:val="left"/>
        <w:rPr>
          <w:rFonts w:hint="default" w:ascii="Times New Roman" w:hAnsi="Times New Roman" w:eastAsia="宋体" w:cs="Times New Roman"/>
        </w:rPr>
      </w:pPr>
      <w:r>
        <w:rPr>
          <w:rFonts w:hint="eastAsia" w:cs="Times New Roman"/>
          <w:lang w:eastAsia="zh-CN"/>
        </w:rPr>
        <w:t>结合</w:t>
      </w:r>
      <w:r>
        <w:rPr>
          <w:rFonts w:hint="default" w:ascii="Times New Roman" w:hAnsi="Times New Roman" w:eastAsia="宋体" w:cs="Times New Roman"/>
        </w:rPr>
        <w:t>本</w:t>
      </w:r>
      <w:r>
        <w:rPr>
          <w:rFonts w:hint="eastAsia" w:cs="Times New Roman"/>
          <w:lang w:eastAsia="zh-CN"/>
        </w:rPr>
        <w:t>项目各地</w:t>
      </w:r>
      <w:r>
        <w:rPr>
          <w:rFonts w:hint="default" w:ascii="Times New Roman" w:hAnsi="Times New Roman" w:eastAsia="宋体" w:cs="Times New Roman"/>
        </w:rPr>
        <w:t>土壤快筛监测</w:t>
      </w:r>
      <w:r>
        <w:rPr>
          <w:rFonts w:hint="eastAsia" w:cs="Times New Roman"/>
          <w:lang w:eastAsia="zh-CN"/>
        </w:rPr>
        <w:t>方案及检测结果，各地块</w:t>
      </w:r>
      <w:r>
        <w:rPr>
          <w:rFonts w:hint="default" w:ascii="Times New Roman" w:hAnsi="Times New Roman" w:eastAsia="宋体" w:cs="Times New Roman"/>
        </w:rPr>
        <w:t>表层土壤的挥发性有机物和8项重金属，根据检测结果表明，地块内土壤挥发性有机化合物及部分气态无机物浓度较低，地块内土壤重金属快筛检测因子检出浓度均低于《土壤环境质量建设用地土壤风险污染管控标准（试行）》（GB36600-2018）第一类用地风险筛选值和《建设用地土壤污染风险评估技术导则》（DB33/T892-2022）敏感用地筛选值。满足《国土空间调查、规划、用途管制用地用海分类指南》中0703农村宅基地的开发需求。</w:t>
      </w:r>
    </w:p>
    <w:p w14:paraId="4320A406">
      <w:pPr>
        <w:keepNext w:val="0"/>
        <w:keepLines w:val="0"/>
        <w:pageBreakBefore w:val="0"/>
        <w:widowControl w:val="0"/>
        <w:kinsoku/>
        <w:wordWrap/>
        <w:overflowPunct/>
        <w:topLinePunct w:val="0"/>
        <w:autoSpaceDE/>
        <w:autoSpaceDN/>
        <w:bidi w:val="0"/>
        <w:adjustRightInd/>
        <w:snapToGrid/>
        <w:ind w:firstLine="480" w:firstLineChars="200"/>
        <w:textAlignment w:val="center"/>
        <w:rPr>
          <w:rFonts w:hint="default"/>
          <w:lang w:val="en-US"/>
        </w:rPr>
      </w:pPr>
      <w:r>
        <w:rPr>
          <w:rFonts w:hint="default" w:ascii="Times New Roman" w:hAnsi="Times New Roman" w:eastAsia="宋体" w:cs="Times New Roman"/>
        </w:rPr>
        <w:t>综上</w:t>
      </w:r>
      <w:r>
        <w:rPr>
          <w:rFonts w:hint="eastAsia" w:cs="Times New Roman"/>
          <w:lang w:eastAsia="zh-CN"/>
        </w:rPr>
        <w:t>所述</w:t>
      </w:r>
      <w:r>
        <w:rPr>
          <w:rFonts w:hint="default" w:ascii="Times New Roman" w:hAnsi="Times New Roman" w:eastAsia="宋体" w:cs="Times New Roman"/>
        </w:rPr>
        <w:t>，本地块土壤环境质量满足第一类用地需求，本次调查活动在第一阶段结束，无需要开展第二阶段调查，可用于后续开发建设</w:t>
      </w:r>
      <w:r>
        <w:rPr>
          <w:rFonts w:hint="eastAsia" w:cs="Times New Roman"/>
          <w:lang w:eastAsia="zh-CN"/>
        </w:rPr>
        <w:t>，</w:t>
      </w:r>
      <w:r>
        <w:rPr>
          <w:rFonts w:hint="default" w:ascii="Times New Roman" w:hAnsi="Times New Roman" w:eastAsia="宋体" w:cs="Times New Roman"/>
        </w:rPr>
        <w:t>认为</w:t>
      </w:r>
      <w:r>
        <w:rPr>
          <w:rFonts w:hint="eastAsia" w:ascii="Times New Roman" w:hAnsi="Times New Roman" w:cs="Times New Roman"/>
          <w:lang w:eastAsia="zh-CN"/>
        </w:rPr>
        <w:t>本项目</w:t>
      </w:r>
      <w:r>
        <w:rPr>
          <w:rFonts w:hint="default" w:ascii="Times New Roman" w:hAnsi="Times New Roman" w:eastAsia="宋体" w:cs="Times New Roman"/>
        </w:rPr>
        <w:t>场地调查可</w:t>
      </w:r>
      <w:r>
        <w:rPr>
          <w:rFonts w:hint="eastAsia" w:cs="Times New Roman"/>
          <w:lang w:eastAsia="zh-CN"/>
        </w:rPr>
        <w:t>结束</w:t>
      </w:r>
      <w:r>
        <w:rPr>
          <w:rFonts w:hint="eastAsia" w:cs="Times New Roman"/>
          <w:lang w:val="en-US" w:eastAsia="zh-CN"/>
        </w:rPr>
        <w:t>。</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D647AF"/>
    <w:rsid w:val="5F573569"/>
    <w:rsid w:val="79D64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textAlignment w:val="center"/>
    </w:pPr>
    <w:rPr>
      <w:rFonts w:ascii="Times New Roman" w:hAnsi="Times New Roman" w:eastAsia="宋体" w:cs="Times New Roman"/>
      <w:kern w:val="2"/>
      <w:sz w:val="24"/>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1122</Words>
  <Characters>1190</Characters>
  <Lines>0</Lines>
  <Paragraphs>0</Paragraphs>
  <TotalTime>0</TotalTime>
  <ScaleCrop>false</ScaleCrop>
  <LinksUpToDate>false</LinksUpToDate>
  <CharactersWithSpaces>1193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2025-07-29T02:18:00Z</dcterms:created>
  <dc:creator>卟零</dc:creator>
  <cp:lastModifiedBy>瓜子</cp:lastModifiedBy>
  <dcterms:modified xsi:type="dcterms:W3CDTF">2025-07-29T03:01:20Z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03243595E8A040E7BA9F71E79D457D97_13</vt:lpwstr>
  </property>
  <property fmtid="{D5CDD505-2E9C-101B-9397-08002B2CF9AE}" pid="4" name="KSOTemplateDocerSaveRecord">
    <vt:lpwstr>eyJoZGlkIjoiNjUxYTRiYjU5YjBkZWFmZTM3NmI3OGQ3NTM2OTVjNmUiLCJ1c2VySWQiOiIxNjA4NDU1NjU2In0=</vt:lpwstr>
  </property>
</Properties>
</file>