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0E79C">
      <w:pPr>
        <w:autoSpaceDE/>
        <w:autoSpaceDN/>
        <w:adjustRightInd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摘</w:t>
      </w:r>
      <w:r>
        <w:rPr>
          <w:rFonts w:ascii="Times New Roman" w:hAnsi="Times New Roman"/>
          <w:b/>
          <w:bCs/>
          <w:sz w:val="44"/>
          <w:szCs w:val="44"/>
          <w:highlight w:val="none"/>
          <w:lang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要</w:t>
      </w:r>
    </w:p>
    <w:p w14:paraId="01B7E262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  <w:t>地块描述</w:t>
      </w:r>
    </w:p>
    <w:p w14:paraId="51845A9E">
      <w:pPr>
        <w:bidi w:val="0"/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天平村居家养老服务中心地块</w:t>
      </w:r>
      <w:r>
        <w:rPr>
          <w:rFonts w:hint="default" w:eastAsia="宋体" w:cs="Times New Roman"/>
          <w:color w:val="auto"/>
          <w:sz w:val="24"/>
          <w:szCs w:val="24"/>
          <w:highlight w:val="none"/>
          <w:lang w:val="en-US" w:eastAsia="zh-CN"/>
        </w:rPr>
        <w:t>位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于浙江省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湖州市长兴县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林城镇天平村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地块中心点的经纬度分别为东经119.756935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北纬30.905265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，面积为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696.2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u w:val="none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none"/>
          <w:u w:val="none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highlight w:val="none"/>
          <w:lang w:eastAsia="zh-CN"/>
        </w:rPr>
        <w:t>。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东至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农村道路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，南至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林地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西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天平村幼儿园</w:t>
      </w:r>
      <w:r>
        <w:rPr>
          <w:rFonts w:hint="eastAsia" w:eastAsia="宋体" w:cs="Times New Roman"/>
          <w:color w:val="auto"/>
          <w:sz w:val="24"/>
          <w:szCs w:val="24"/>
          <w:highlight w:val="none"/>
          <w:lang w:val="en-US" w:eastAsia="zh-CN"/>
        </w:rPr>
        <w:t>，北至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农村道路。</w:t>
      </w:r>
    </w:p>
    <w:p w14:paraId="1A67777B">
      <w:pPr>
        <w:bidi w:val="0"/>
        <w:rPr>
          <w:rFonts w:hint="default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根据现场踏勘</w:t>
      </w:r>
      <w:r>
        <w:rPr>
          <w:rFonts w:hint="eastAsia" w:cs="Times New Roman"/>
          <w:color w:val="auto"/>
          <w:highlight w:val="none"/>
          <w:lang w:val="en-US" w:eastAsia="zh-CN"/>
        </w:rPr>
        <w:t>了解到地块内主要为一个闲置的房子、空地和林地，房子和空地区域地面皆硬化，林地区域未硬化。地块内的房子无地下水池、储罐等地下构筑物，有生活污水管。地块内不存在地表水，</w:t>
      </w:r>
      <w:r>
        <w:rPr>
          <w:rFonts w:hint="eastAsia" w:cs="Times New Roman"/>
          <w:snapToGrid w:val="0"/>
          <w:kern w:val="0"/>
          <w:highlight w:val="none"/>
          <w:lang w:val="en-US" w:eastAsia="zh-CN"/>
        </w:rPr>
        <w:t>地块四周约150m范围内存在泗安塘（平均水深约两米）、桥港（平均水深约两米）和黎家湾（平均水深约两米）3处地表水，地块及地块周边区域地势呈现南高北低，地块周边学校、村宅、幼儿园及道路地面都经过硬化，相较于周边的林地农田会略微高出。</w:t>
      </w:r>
    </w:p>
    <w:p w14:paraId="350FD4B0">
      <w:pPr>
        <w:rPr>
          <w:rFonts w:hint="default" w:ascii="Times New Roman" w:hAnsi="Times New Roman" w:eastAsia="宋体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根据人员访谈了解到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地块历史上用地性质为农用地，于2019年变更为工业用地，未来规划用地性质为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居住用地</w:t>
      </w:r>
      <w:r>
        <w:rPr>
          <w:rFonts w:hint="eastAsia" w:cs="Times New Roman"/>
          <w:color w:val="auto"/>
          <w:highlight w:val="none"/>
          <w:lang w:val="en-US" w:eastAsia="zh-CN"/>
        </w:rPr>
        <w:t>中的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农村社区服务设施用地（0704）。</w:t>
      </w:r>
    </w:p>
    <w:p w14:paraId="299D03EA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  <w:t>地块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内及周边地块污染识别情况</w:t>
      </w:r>
    </w:p>
    <w:p w14:paraId="68E74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通过现场踏勘、人员访谈及资料收集，</w:t>
      </w:r>
      <w:r>
        <w:rPr>
          <w:rFonts w:hint="eastAsia" w:cs="Times New Roman"/>
          <w:highlight w:val="none"/>
          <w:lang w:val="en-US" w:eastAsia="zh-CN"/>
        </w:rPr>
        <w:t>地块历史用途简单，2008年前地块内为农田，2008年地块内房子建成，而后于2009年~2012年作为青梅清洗存放场地，2012年之后该房子一直闲置。</w:t>
      </w:r>
    </w:p>
    <w:p w14:paraId="25907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cs="Times New Roman"/>
          <w:color w:val="auto"/>
          <w:highlight w:val="none"/>
          <w:lang w:val="en-US" w:eastAsia="zh-CN"/>
        </w:rPr>
        <w:t>地块2008年以前作为农田，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主要关注污染物为</w:t>
      </w:r>
      <w:r>
        <w:rPr>
          <w:rFonts w:hint="eastAsia" w:cs="Times New Roman"/>
          <w:highlight w:val="none"/>
          <w:lang w:val="en-US" w:eastAsia="zh-CN"/>
        </w:rPr>
        <w:t>农田种植中可能使用的农药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。根据相关文献，有机氯农药因其化学结构的差异，半衰期在几个月到几年不等。以难降解的DDT为例，其半衰期约为2-4年。我国自1982年起禁用较难降解的有机氯农药，较难</w:t>
      </w:r>
      <w:r>
        <w:rPr>
          <w:rFonts w:hint="eastAsia" w:cs="Times New Roman"/>
          <w:highlight w:val="none"/>
          <w:lang w:val="en-US" w:eastAsia="zh-CN"/>
        </w:rPr>
        <w:t>降解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的主要为DDT和六六六，至今已约39年，以3年的半衰期计算，如今土壤中的浓度</w:t>
      </w:r>
      <w:r>
        <w:rPr>
          <w:rFonts w:hint="eastAsia" w:cs="Times New Roman"/>
          <w:highlight w:val="none"/>
          <w:lang w:val="en-US" w:eastAsia="zh-CN"/>
        </w:rPr>
        <w:t>已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削减至最初的万分之一，其风险在可接受范围内。同理，推测其他较易降解的有机氯农药，在项目地块的风险均在可接受范围内。</w:t>
      </w:r>
    </w:p>
    <w:p w14:paraId="2477E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cs="Times New Roman"/>
          <w:color w:val="auto"/>
          <w:highlight w:val="none"/>
          <w:lang w:val="en-US" w:eastAsia="zh-CN"/>
        </w:rPr>
      </w:pPr>
      <w:r>
        <w:rPr>
          <w:rFonts w:hint="eastAsia" w:cs="Times New Roman"/>
          <w:color w:val="auto"/>
          <w:highlight w:val="none"/>
          <w:lang w:val="en-US" w:eastAsia="zh-CN"/>
        </w:rPr>
        <w:t>地块内的房子在2009年~2012年作为青梅清洗存放场地，青梅清洗仅用水加入少许食盐进行，并未使用化学清洗剂，</w:t>
      </w:r>
    </w:p>
    <w:p w14:paraId="2B341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eastAsia" w:cs="Times New Roman"/>
          <w:highlight w:val="none"/>
          <w:lang w:val="en-US" w:eastAsia="zh-CN"/>
        </w:rPr>
      </w:pPr>
      <w:r>
        <w:rPr>
          <w:rFonts w:hint="eastAsia" w:cs="Times New Roman"/>
          <w:highlight w:val="none"/>
          <w:lang w:val="en-US" w:eastAsia="zh-CN"/>
        </w:rPr>
        <w:t>清洗后的水通过生活污水管道排放，判断在该过程中污染因子为氯离子、氨氮、COD。在2012年之后该房子一直闲置，未用于工业生产，因此也不存在污染情况。</w:t>
      </w:r>
    </w:p>
    <w:p w14:paraId="30ABD83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eastAsia" w:cs="Times New Roman"/>
          <w:color w:val="auto"/>
          <w:highlight w:val="none"/>
          <w:lang w:val="en-US" w:eastAsia="zh-CN"/>
        </w:rPr>
      </w:pPr>
      <w:r>
        <w:rPr>
          <w:rFonts w:hint="eastAsia" w:cs="Times New Roman"/>
          <w:highlight w:val="none"/>
          <w:lang w:val="en-US" w:eastAsia="zh-CN"/>
        </w:rPr>
        <w:t>考虑到地块内的房子曾经用于青梅清洗，因此将房子所处区域设为潜在污染区域。</w:t>
      </w:r>
    </w:p>
    <w:p w14:paraId="7CCA95B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eastAsia" w:cs="Times New Roman"/>
          <w:color w:val="auto"/>
          <w:highlight w:val="none"/>
          <w:lang w:val="en-US" w:eastAsia="zh-CN"/>
        </w:rPr>
      </w:pPr>
    </w:p>
    <w:p w14:paraId="695C237E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土壤及地下水采样监测工作</w:t>
      </w:r>
    </w:p>
    <w:p w14:paraId="0C696989">
      <w:pPr>
        <w:pStyle w:val="6"/>
        <w:adjustRightInd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本次调查在地块内布设了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个土壤采样点、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口地下水监测井，在地块外布设了1个土壤兼地下水对照点，送检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18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个土壤样品（含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个平行样品）、采集并送检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个地下水样品（含</w:t>
      </w: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个平行样）。</w:t>
      </w:r>
    </w:p>
    <w:p w14:paraId="49D8B38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highlight w:val="none"/>
        </w:rPr>
        <w:t>本次检测的</w:t>
      </w:r>
      <w:r>
        <w:rPr>
          <w:rFonts w:hint="eastAsia"/>
          <w:highlight w:val="none"/>
          <w:lang w:val="en-US" w:eastAsia="zh-CN"/>
        </w:rPr>
        <w:t>土壤</w:t>
      </w:r>
      <w:r>
        <w:rPr>
          <w:rFonts w:hint="eastAsia"/>
          <w:highlight w:val="none"/>
        </w:rPr>
        <w:t>指标</w:t>
      </w:r>
      <w:r>
        <w:rPr>
          <w:rFonts w:hint="eastAsia"/>
          <w:highlight w:val="none"/>
          <w:lang w:val="en-US" w:eastAsia="zh-CN"/>
        </w:rPr>
        <w:t>有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pH值、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种重金属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27种挥发性有机物、11种半挥发性有机物；</w:t>
      </w:r>
      <w:r>
        <w:rPr>
          <w:rFonts w:hint="eastAsia"/>
          <w:highlight w:val="none"/>
        </w:rPr>
        <w:t>本次检测的</w:t>
      </w:r>
      <w:r>
        <w:rPr>
          <w:rFonts w:hint="eastAsia"/>
          <w:highlight w:val="none"/>
          <w:lang w:val="en-US" w:eastAsia="zh-CN"/>
        </w:rPr>
        <w:t>地下水</w:t>
      </w:r>
      <w:r>
        <w:rPr>
          <w:rFonts w:hint="eastAsia"/>
          <w:highlight w:val="none"/>
        </w:rPr>
        <w:t>指标</w:t>
      </w:r>
      <w:r>
        <w:rPr>
          <w:rFonts w:hint="eastAsia"/>
          <w:highlight w:val="none"/>
          <w:lang w:val="en-US" w:eastAsia="zh-CN"/>
        </w:rPr>
        <w:t>有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GB/T14848-2017常规监测项目3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项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。</w:t>
      </w:r>
    </w:p>
    <w:p w14:paraId="1708E7D7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评价标准</w:t>
      </w:r>
    </w:p>
    <w:p w14:paraId="5E056A9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napToGrid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lang w:val="en-US" w:eastAsia="zh-CN"/>
        </w:rPr>
        <w:t>根据本地块规划为</w:t>
      </w:r>
      <w:r>
        <w:rPr>
          <w:rFonts w:hint="eastAsia" w:eastAsia="宋体" w:cs="Times New Roman"/>
          <w:snapToGrid w:val="0"/>
          <w:color w:val="auto"/>
          <w:lang w:val="en-US" w:eastAsia="zh-CN"/>
        </w:rPr>
        <w:t>居住用地</w:t>
      </w:r>
      <w:r>
        <w:rPr>
          <w:rFonts w:hint="default" w:ascii="Times New Roman" w:hAnsi="Times New Roman" w:eastAsia="宋体" w:cs="Times New Roman"/>
          <w:snapToGrid w:val="0"/>
          <w:color w:val="auto"/>
          <w:lang w:val="en-US" w:eastAsia="zh-CN"/>
        </w:rPr>
        <w:t>，属于敏感用地，因此本地块参照《土壤环境质量 建设用地土壤污染风险管控标准（试行）》（GB36600-2018）“第一类用地”的风险筛选值、《建设用地土壤污染风险评估技术导则》DB33/T 892-2022中敏感用地筛选值，优先选择低筛选值进行对标分析，据分析两标准常规项目筛选值一致。</w:t>
      </w:r>
    </w:p>
    <w:p w14:paraId="0CDB17EF">
      <w:pPr>
        <w:pStyle w:val="5"/>
        <w:spacing w:line="360" w:lineRule="auto"/>
        <w:ind w:firstLine="480"/>
        <w:jc w:val="both"/>
        <w:rPr>
          <w:rFonts w:hint="default" w:ascii="Times New Roman" w:hAnsi="Times New Roman" w:eastAsia="宋体" w:cs="Times New Roman"/>
          <w:snapToGrid w:val="0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snapToGrid w:val="0"/>
          <w:color w:val="auto"/>
          <w:lang w:val="en-US" w:eastAsia="zh-CN"/>
        </w:rPr>
        <w:t>根据现场勘查，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本次调查区域地下水未分区，不作为饮用水源使用也不开发利用。</w:t>
      </w:r>
      <w:r>
        <w:rPr>
          <w:rFonts w:hint="default" w:ascii="Times New Roman" w:hAnsi="Times New Roman" w:eastAsia="宋体" w:cs="Times New Roman"/>
          <w:snapToGrid w:val="0"/>
          <w:color w:val="auto"/>
          <w:lang w:val="en-US" w:eastAsia="zh-CN"/>
        </w:rPr>
        <w:t>因此地下水环境质量标准参照执行《地下水质量标准》（GB/T14848-2017）中的Ⅳ类标准，对于该标准未制定的因子，优先选取《上海市建设用地土壤污染状况调查、风险评估、风险管控与修复方案编制、风险管控与修复效果评估工作的补充规定（试行）》（沪环土[2020]62号）附件5上海市建设用地地下水污染风险管控筛选值补充指标的第</w:t>
      </w:r>
      <w:r>
        <w:rPr>
          <w:rFonts w:hint="eastAsia" w:eastAsia="宋体" w:cs="Times New Roman"/>
          <w:snapToGrid w:val="0"/>
          <w:color w:val="auto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snapToGrid w:val="0"/>
          <w:color w:val="auto"/>
          <w:lang w:val="en-US" w:eastAsia="zh-CN"/>
        </w:rPr>
        <w:t>类用地筛选值。</w:t>
      </w:r>
    </w:p>
    <w:p w14:paraId="6825156E">
      <w:pPr>
        <w:pStyle w:val="2"/>
        <w:numPr>
          <w:ilvl w:val="0"/>
          <w:numId w:val="1"/>
        </w:numPr>
        <w:adjustRightInd w:val="0"/>
        <w:snapToGrid w:val="0"/>
        <w:ind w:firstLine="0" w:firstLineChars="0"/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/>
        </w:rPr>
        <w:t>结论</w:t>
      </w:r>
    </w:p>
    <w:p w14:paraId="19212251">
      <w:pPr>
        <w:adjustRightInd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sz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lang w:eastAsia="zh-CN"/>
        </w:rPr>
        <w:t>本次调查地块内土壤中检测</w:t>
      </w:r>
      <w:r>
        <w:rPr>
          <w:rFonts w:hint="default" w:ascii="Times New Roman" w:hAnsi="Times New Roman" w:eastAsia="宋体" w:cs="Times New Roman"/>
          <w:lang w:eastAsia="zh-CN"/>
        </w:rPr>
        <w:t>了pH值</w:t>
      </w:r>
      <w:r>
        <w:rPr>
          <w:rFonts w:hint="default" w:ascii="Times New Roman" w:hAnsi="Times New Roman" w:eastAsia="宋体" w:cs="Times New Roman"/>
          <w:sz w:val="24"/>
          <w:lang w:eastAsia="zh-CN"/>
        </w:rPr>
        <w:t>、</w:t>
      </w:r>
      <w:r>
        <w:rPr>
          <w:rFonts w:hint="eastAsia" w:cs="Times New Roman"/>
          <w:sz w:val="24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sz w:val="24"/>
          <w:lang w:eastAsia="zh-CN"/>
        </w:rPr>
        <w:t>种重金属、27种挥发性有机物、11种半挥发性有机物；所有指标检出浓度均低于《土壤环境质量 建设用地土壤污染风险管控标准（试行）》（GB36600</w:t>
      </w:r>
      <w:r>
        <w:rPr>
          <w:rFonts w:hint="default" w:ascii="Times New Roman" w:hAnsi="Times New Roman" w:eastAsia="宋体" w:cs="Times New Roman"/>
          <w:bCs/>
          <w:sz w:val="21"/>
          <w:szCs w:val="21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4"/>
          <w:lang w:eastAsia="zh-CN"/>
        </w:rPr>
        <w:t>2018）一类用地的筛选值。</w:t>
      </w:r>
    </w:p>
    <w:p w14:paraId="0BA20ECE">
      <w:pPr>
        <w:widowControl w:val="0"/>
        <w:autoSpaceDE w:val="0"/>
        <w:autoSpaceDN w:val="0"/>
        <w:adjustRightInd w:val="0"/>
        <w:spacing w:beforeAutospacing="0" w:afterAutospacing="0"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</w:rPr>
        <w:t>本次调查</w:t>
      </w:r>
      <w:r>
        <w:rPr>
          <w:rFonts w:hint="default" w:ascii="Times New Roman" w:hAnsi="Times New Roman" w:eastAsia="宋体" w:cs="Times New Roman"/>
          <w:lang w:eastAsia="zh-CN"/>
        </w:rPr>
        <w:t>地块</w:t>
      </w:r>
      <w:r>
        <w:rPr>
          <w:rFonts w:hint="default" w:ascii="Times New Roman" w:hAnsi="Times New Roman" w:eastAsia="宋体" w:cs="Times New Roman"/>
        </w:rPr>
        <w:t>内地下水中检测了GB/T14848-2017常规监测项目3</w:t>
      </w:r>
      <w:r>
        <w:rPr>
          <w:rFonts w:hint="eastAsia" w:cs="Times New Roman"/>
          <w:lang w:val="en-US" w:eastAsia="zh-CN"/>
        </w:rPr>
        <w:t>5</w:t>
      </w:r>
      <w:r>
        <w:rPr>
          <w:rFonts w:hint="default" w:ascii="Times New Roman" w:hAnsi="Times New Roman" w:eastAsia="宋体" w:cs="Times New Roman"/>
        </w:rPr>
        <w:t>项；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《地下水质量标准》（GB/T 14848-2017）中的3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项</w:t>
      </w:r>
      <w:r>
        <w:rPr>
          <w:rFonts w:hint="eastAsia" w:eastAsia="宋体" w:cs="Times New Roman"/>
          <w:sz w:val="24"/>
          <w:szCs w:val="24"/>
          <w:highlight w:val="none"/>
          <w:lang w:val="en-US" w:eastAsia="zh-CN" w:bidi="ar-SA"/>
        </w:rPr>
        <w:t>中硫化物、氰化物、挥发酚、六价铬、铜、铝、氯仿、四氯化碳、苯、甲苯未检出，其余指标均有检出，其中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除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浊度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 w:bidi="ar-SA"/>
        </w:rPr>
        <w:t>超过《地下水质量标准》（GB/T14848-2017）IV类标准限值，其他检出值分别低于《地下水质量标准》（GB/T14848-2017）IV类标准限值、《上海市建设用地地下水污染风险管控筛选值补充指标》（第一类用地筛选值（mg/L））。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根据</w:t>
      </w:r>
      <w:r>
        <w:rPr>
          <w:rFonts w:hint="eastAsia" w:cs="Times New Roman"/>
          <w:szCs w:val="24"/>
          <w:lang w:val="en-US" w:eastAsia="zh-CN"/>
        </w:rPr>
        <w:t>分析说明</w:t>
      </w: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，地下水中浊度不具有人体健康风险。</w:t>
      </w:r>
    </w:p>
    <w:p w14:paraId="71A83C62">
      <w:pPr>
        <w:bidi w:val="0"/>
        <w:rPr>
          <w:rFonts w:hint="default" w:ascii="Times New Roman" w:hAnsi="Times New Roman" w:eastAsia="宋体" w:cs="Times New Roman"/>
          <w:szCs w:val="24"/>
        </w:rPr>
      </w:pPr>
      <w:r>
        <w:rPr>
          <w:rFonts w:hint="eastAsia"/>
          <w:sz w:val="24"/>
          <w:highlight w:val="none"/>
        </w:rPr>
        <w:t>综上本地块可以结束初步调查，无需开展进一步的详细调查及风险评估，满足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val="en-US" w:eastAsia="zh-CN"/>
        </w:rPr>
        <w:t>《国土空间调查、规划、用途管制用地用海分类指南》中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居住用地</w:t>
      </w:r>
      <w:r>
        <w:rPr>
          <w:rFonts w:hint="eastAsia" w:cs="Times New Roman"/>
          <w:color w:val="auto"/>
          <w:highlight w:val="none"/>
          <w:lang w:val="en-US" w:eastAsia="zh-CN"/>
        </w:rPr>
        <w:t>中的</w:t>
      </w:r>
      <w:r>
        <w:rPr>
          <w:rFonts w:hint="eastAsia" w:cs="Times New Roman"/>
          <w:b/>
          <w:bCs/>
          <w:color w:val="auto"/>
          <w:highlight w:val="none"/>
          <w:lang w:val="en-US" w:eastAsia="zh-CN"/>
        </w:rPr>
        <w:t>农村社区服务设施用地（0704）</w:t>
      </w:r>
      <w:r>
        <w:rPr>
          <w:rFonts w:hint="default" w:ascii="Times New Roman" w:hAnsi="Times New Roman" w:eastAsia="宋体" w:cs="Times New Roman"/>
          <w:szCs w:val="24"/>
          <w:highlight w:val="none"/>
          <w:lang w:val="en-US" w:eastAsia="zh-CN"/>
        </w:rPr>
        <w:t>的开发需求</w:t>
      </w:r>
      <w:r>
        <w:rPr>
          <w:rFonts w:hint="default" w:ascii="Times New Roman" w:hAnsi="Times New Roman" w:eastAsia="宋体" w:cs="Times New Roman"/>
          <w:szCs w:val="24"/>
          <w:highlight w:val="none"/>
        </w:rPr>
        <w:t>。</w:t>
      </w:r>
    </w:p>
    <w:p w14:paraId="7E47D2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B0CC0"/>
    <w:multiLevelType w:val="singleLevel"/>
    <w:tmpl w:val="266B0CC0"/>
    <w:lvl w:ilvl="0" w:tentative="0">
      <w:start w:val="1"/>
      <w:numFmt w:val="decimal"/>
      <w:suff w:val="nothing"/>
      <w:lvlText w:val="（%1）"/>
      <w:lvlJc w:val="left"/>
      <w:pPr>
        <w:tabs>
          <w:tab w:val="left" w:pos="0"/>
        </w:tabs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F5CEC"/>
    <w:rsid w:val="2EFF5CEC"/>
    <w:rsid w:val="4A607911"/>
    <w:rsid w:val="5FDB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kinsoku/>
      <w:wordWrap w:val="0"/>
      <w:overflowPunct/>
      <w:autoSpaceDE w:val="0"/>
      <w:autoSpaceDN w:val="0"/>
      <w:adjustRightInd w:val="0"/>
      <w:snapToGrid w:val="0"/>
      <w:spacing w:line="360" w:lineRule="auto"/>
      <w:ind w:firstLine="420" w:firstLineChars="200"/>
      <w:jc w:val="both"/>
      <w:textAlignment w:val="baseline"/>
    </w:pPr>
    <w:rPr>
      <w:rFonts w:ascii="Times New Roman" w:hAnsi="Times New Roman" w:eastAsia="宋体" w:cs="Times New Roman"/>
      <w:snapToGrid w:val="0"/>
      <w:color w:val="000000"/>
      <w:kern w:val="0"/>
      <w:sz w:val="24"/>
      <w:szCs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 w:val="0"/>
      <w:spacing w:line="360" w:lineRule="auto"/>
      <w:ind w:firstLine="541" w:firstLineChars="225"/>
      <w:textAlignment w:val="auto"/>
    </w:pPr>
    <w:rPr>
      <w:b/>
      <w:bCs/>
      <w:color w:val="auto"/>
      <w:kern w:val="2"/>
      <w:sz w:val="24"/>
      <w:u w:val="none" w:color="auto"/>
    </w:rPr>
  </w:style>
  <w:style w:type="paragraph" w:customStyle="1" w:styleId="5">
    <w:name w:val="00正文zw"/>
    <w:basedOn w:val="1"/>
    <w:autoRedefine/>
    <w:qFormat/>
    <w:uiPriority w:val="99"/>
    <w:pPr>
      <w:autoSpaceDE/>
      <w:autoSpaceDN/>
      <w:adjustRightInd/>
      <w:spacing w:line="480" w:lineRule="exact"/>
      <w:ind w:firstLine="200" w:firstLineChars="200"/>
    </w:pPr>
    <w:rPr>
      <w:rFonts w:ascii="Times New Roman" w:hAnsi="Times New Roman" w:cs="Times New Roman" w:eastAsiaTheme="minorEastAsia"/>
      <w:color w:val="000000" w:themeColor="text1"/>
      <w:sz w:val="24"/>
      <w:szCs w:val="24"/>
      <w:lang w:eastAsia="zh-CN"/>
      <w14:textFill>
        <w14:solidFill>
          <w14:schemeClr w14:val="tx1"/>
        </w14:solidFill>
      </w14:textFill>
    </w:rPr>
  </w:style>
  <w:style w:type="paragraph" w:customStyle="1" w:styleId="6">
    <w:name w:val="text"/>
    <w:basedOn w:val="1"/>
    <w:qFormat/>
    <w:uiPriority w:val="0"/>
    <w:pPr>
      <w:spacing w:line="360" w:lineRule="auto"/>
      <w:ind w:firstLine="480" w:firstLineChars="200"/>
      <w:jc w:val="both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1654</Words>
  <Characters>1863</Characters>
  <Lines>0</Lines>
  <Paragraphs>0</Paragraphs>
  <TotalTime>0</TotalTime>
  <ScaleCrop>false</ScaleCrop>
  <LinksUpToDate>false</LinksUpToDate>
  <CharactersWithSpaces>1869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2025-07-24T08:15:00Z</dcterms:created>
  <dc:creator>卟零</dc:creator>
  <cp:lastModifiedBy>瓜子</cp:lastModifiedBy>
  <dcterms:modified xsi:type="dcterms:W3CDTF">2025-07-24T08:23:10Z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FDBC849EA12445679341D04A402771D3_13</vt:lpwstr>
  </property>
  <property fmtid="{D5CDD505-2E9C-101B-9397-08002B2CF9AE}" pid="4" name="KSOTemplateDocerSaveRecord">
    <vt:lpwstr>eyJoZGlkIjoiZjIwZGJhM2I5Y2JiZjEyZGI3YmU1NjQ2M2JmMTM1ZWUiLCJ1c2VySWQiOiI3MDkyODM0NjUifQ==</vt:lpwstr>
  </property>
</Properties>
</file>