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D2169">
      <w:pPr>
        <w:autoSpaceDE w:val="0"/>
        <w:autoSpaceDN w:val="0"/>
        <w:adjustRightInd w:val="0"/>
        <w:snapToGrid/>
        <w:spacing w:line="360" w:lineRule="auto"/>
        <w:ind w:firstLine="480" w:firstLineChars="200"/>
        <w:rPr>
          <w:rFonts w:hint="default" w:ascii="Times New Roman" w:hAnsi="Times New Roman" w:eastAsia="宋体" w:cs="Times New Roman"/>
        </w:rPr>
      </w:pPr>
      <w:bookmarkStart w:id="0" w:name="_GoBack"/>
      <w:bookmarkEnd w:id="0"/>
      <w:r>
        <w:rPr>
          <w:rFonts w:hint="eastAsia" w:ascii="Times New Roman" w:hAnsi="Times New Roman" w:eastAsia="宋体" w:cs="Times New Roman"/>
          <w:lang w:val="en-US" w:eastAsia="zh-CN"/>
        </w:rPr>
        <w:t>余杭区老年大学（余杭片区工人文化宫）项目地块</w:t>
      </w:r>
      <w:r>
        <w:rPr>
          <w:rFonts w:hint="default" w:ascii="Times New Roman" w:hAnsi="Times New Roman" w:eastAsia="宋体" w:cs="Times New Roman"/>
        </w:rPr>
        <w:t>位于浙江省</w:t>
      </w:r>
      <w:r>
        <w:rPr>
          <w:rFonts w:hint="eastAsia" w:ascii="Times New Roman" w:hAnsi="Times New Roman" w:eastAsia="宋体" w:cs="Times New Roman"/>
          <w:lang w:val="en-US" w:eastAsia="zh-CN"/>
        </w:rPr>
        <w:t>杭州市余杭区余杭</w:t>
      </w:r>
      <w:r>
        <w:rPr>
          <w:rFonts w:hint="eastAsia" w:ascii="Times New Roman" w:hAnsi="Times New Roman" w:eastAsia="宋体" w:cs="Times New Roman"/>
          <w:lang w:eastAsia="zh-CN"/>
        </w:rPr>
        <w:t>街道</w:t>
      </w:r>
      <w:r>
        <w:rPr>
          <w:rFonts w:hint="eastAsia" w:ascii="Times New Roman" w:hAnsi="Times New Roman" w:eastAsia="宋体" w:cs="Times New Roman"/>
          <w:lang w:val="en-US" w:eastAsia="zh-CN"/>
        </w:rPr>
        <w:t>宝塔社区</w:t>
      </w:r>
      <w:r>
        <w:rPr>
          <w:rFonts w:hint="default" w:ascii="Times New Roman" w:hAnsi="Times New Roman" w:eastAsia="宋体" w:cs="Times New Roman"/>
        </w:rPr>
        <w:t>，</w:t>
      </w:r>
      <w:r>
        <w:rPr>
          <w:rFonts w:hint="eastAsia" w:ascii="Times New Roman" w:hAnsi="Times New Roman" w:eastAsia="宋体" w:cs="Times New Roman"/>
          <w:lang w:val="en-US" w:eastAsia="zh-CN"/>
        </w:rPr>
        <w:t>北至城南路，东至空地</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南至空地</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西至城东路，</w:t>
      </w:r>
      <w:r>
        <w:rPr>
          <w:rFonts w:hint="default" w:ascii="Times New Roman" w:hAnsi="Times New Roman" w:eastAsia="宋体" w:cs="Times New Roman"/>
          <w:lang w:val="en-US" w:eastAsia="zh-CN"/>
        </w:rPr>
        <w:t>地块中心点的经纬度分别为东经119.951005°</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北纬</w:t>
      </w:r>
      <w:r>
        <w:rPr>
          <w:rFonts w:hint="eastAsia" w:ascii="Times New Roman" w:hAnsi="Times New Roman" w:eastAsia="宋体" w:cs="Times New Roman"/>
          <w:lang w:val="en-US" w:eastAsia="zh-CN"/>
        </w:rPr>
        <w:t>30.258944</w:t>
      </w:r>
      <w:r>
        <w:rPr>
          <w:rFonts w:hint="default" w:ascii="Times New Roman" w:hAnsi="Times New Roman" w:eastAsia="宋体" w:cs="Times New Roman"/>
          <w:lang w:val="en-US" w:eastAsia="zh-CN"/>
        </w:rPr>
        <w:t>°，面积为</w:t>
      </w:r>
      <w:r>
        <w:rPr>
          <w:rFonts w:hint="eastAsia" w:ascii="Times New Roman" w:hAnsi="Times New Roman" w:eastAsia="宋体" w:cs="Times New Roman"/>
          <w:lang w:val="en-US" w:eastAsia="zh-CN"/>
        </w:rPr>
        <w:t>5845</w:t>
      </w:r>
      <w:r>
        <w:rPr>
          <w:rFonts w:hint="default" w:ascii="Times New Roman" w:hAnsi="Times New Roman" w:eastAsia="宋体" w:cs="Times New Roman"/>
          <w:lang w:val="en-US" w:eastAsia="zh-CN"/>
        </w:rPr>
        <w:t>m</w:t>
      </w:r>
      <w:r>
        <w:rPr>
          <w:rFonts w:hint="default" w:ascii="Times New Roman" w:hAnsi="Times New Roman" w:eastAsia="宋体" w:cs="Times New Roman"/>
          <w:vertAlign w:val="superscript"/>
          <w:lang w:val="en-US" w:eastAsia="zh-CN"/>
        </w:rPr>
        <w:t>2</w:t>
      </w:r>
      <w:r>
        <w:rPr>
          <w:rFonts w:hint="eastAsia" w:ascii="Times New Roman" w:hAnsi="Times New Roman" w:eastAsia="宋体" w:cs="Times New Roman"/>
          <w:lang w:val="en-US" w:eastAsia="zh-CN"/>
        </w:rPr>
        <w:t>，其中农用地5831m</w:t>
      </w:r>
      <w:r>
        <w:rPr>
          <w:rFonts w:hint="eastAsia" w:ascii="Times New Roman" w:hAnsi="Times New Roman" w:eastAsia="宋体" w:cs="Times New Roman"/>
          <w:vertAlign w:val="superscript"/>
          <w:lang w:val="en-US" w:eastAsia="zh-CN"/>
        </w:rPr>
        <w:t>2</w:t>
      </w:r>
      <w:r>
        <w:rPr>
          <w:rFonts w:hint="eastAsia" w:ascii="Times New Roman" w:hAnsi="Times New Roman" w:eastAsia="宋体" w:cs="Times New Roman"/>
          <w:lang w:val="en-US" w:eastAsia="zh-CN"/>
        </w:rPr>
        <w:t>（耕地5827m</w:t>
      </w:r>
      <w:r>
        <w:rPr>
          <w:rFonts w:hint="eastAsia" w:ascii="Times New Roman" w:hAnsi="Times New Roman" w:eastAsia="宋体" w:cs="Times New Roman"/>
          <w:vertAlign w:val="superscript"/>
          <w:lang w:val="en-US" w:eastAsia="zh-CN"/>
        </w:rPr>
        <w:t>2</w:t>
      </w:r>
      <w:r>
        <w:rPr>
          <w:rFonts w:hint="eastAsia" w:ascii="Times New Roman" w:hAnsi="Times New Roman" w:eastAsia="宋体" w:cs="Times New Roman"/>
          <w:lang w:val="en-US" w:eastAsia="zh-CN"/>
        </w:rPr>
        <w:t>，农村道路4m</w:t>
      </w:r>
      <w:r>
        <w:rPr>
          <w:rFonts w:hint="eastAsia" w:ascii="Times New Roman" w:hAnsi="Times New Roman" w:eastAsia="宋体" w:cs="Times New Roman"/>
          <w:vertAlign w:val="superscript"/>
          <w:lang w:val="en-US" w:eastAsia="zh-CN"/>
        </w:rPr>
        <w:t>2</w:t>
      </w:r>
      <w:r>
        <w:rPr>
          <w:rFonts w:hint="eastAsia" w:ascii="Times New Roman" w:hAnsi="Times New Roman" w:eastAsia="宋体" w:cs="Times New Roman"/>
          <w:lang w:val="en-US" w:eastAsia="zh-CN"/>
        </w:rPr>
        <w:t>）、建设用地14m</w:t>
      </w:r>
      <w:r>
        <w:rPr>
          <w:rFonts w:hint="eastAsia" w:ascii="Times New Roman" w:hAnsi="Times New Roman" w:eastAsia="宋体" w:cs="Times New Roman"/>
          <w:vertAlign w:val="superscript"/>
          <w:lang w:val="en-US" w:eastAsia="zh-CN"/>
        </w:rPr>
        <w:t>2</w:t>
      </w:r>
      <w:r>
        <w:rPr>
          <w:rFonts w:hint="eastAsia" w:ascii="Times New Roman" w:hAnsi="Times New Roman" w:eastAsia="宋体" w:cs="Times New Roman"/>
          <w:lang w:val="en-US" w:eastAsia="zh-CN"/>
        </w:rPr>
        <w:t>（公路用地），未来规划用地性质为文化用地（0803）。</w:t>
      </w:r>
    </w:p>
    <w:p w14:paraId="51C30A65">
      <w:pPr>
        <w:autoSpaceDE w:val="0"/>
        <w:autoSpaceDN w:val="0"/>
        <w:adjustRightInd w:val="0"/>
        <w:snapToGrid/>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本次调查主要通过资料收集，现场踏勘及人员访谈等方式，确认地块内</w:t>
      </w:r>
      <w:r>
        <w:rPr>
          <w:rFonts w:hint="eastAsia" w:ascii="Times New Roman" w:hAnsi="Times New Roman" w:eastAsia="宋体" w:cs="Times New Roman"/>
          <w:color w:val="auto"/>
          <w:sz w:val="24"/>
          <w:szCs w:val="24"/>
          <w:highlight w:val="none"/>
          <w:lang w:val="en-US" w:eastAsia="zh-CN"/>
        </w:rPr>
        <w:t>目前为空地，地块内东北角处有10KV变电站，此外无任何建筑，地块内正在进行考古平整</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考古平整过程中没有外来土，也未挖出疑似污染的填埋物，</w:t>
      </w:r>
      <w:r>
        <w:rPr>
          <w:rFonts w:hint="eastAsia" w:cs="Times New Roman"/>
          <w:color w:val="auto"/>
          <w:lang w:val="en-US" w:eastAsia="zh-CN"/>
        </w:rPr>
        <w:t>地块内无污染痕迹、异味等异常现象</w:t>
      </w:r>
      <w:r>
        <w:rPr>
          <w:rFonts w:hint="eastAsia" w:ascii="Times New Roman" w:hAnsi="Times New Roman" w:eastAsia="宋体" w:cs="Times New Roman"/>
          <w:color w:val="auto"/>
          <w:highlight w:val="none"/>
          <w:lang w:val="en-US" w:eastAsia="zh-CN"/>
        </w:rPr>
        <w:t>。地块历史上主要为农田和村宅，无工业企业。</w:t>
      </w:r>
    </w:p>
    <w:p w14:paraId="4C81CDA8">
      <w:pPr>
        <w:autoSpaceDE w:val="0"/>
        <w:autoSpaceDN w:val="0"/>
        <w:adjustRightInd w:val="0"/>
        <w:snapToGrid/>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地块</w:t>
      </w:r>
      <w:r>
        <w:rPr>
          <w:rFonts w:hint="eastAsia" w:ascii="Times New Roman" w:hAnsi="Times New Roman" w:eastAsia="宋体" w:cs="Times New Roman"/>
          <w:color w:val="auto"/>
          <w:highlight w:val="none"/>
          <w:lang w:val="en-US" w:eastAsia="zh-CN"/>
        </w:rPr>
        <w:t>外东侧为空地，空地往东为沿山港、法院和余杭官山九年制一贯学校施工现场，西侧为城东路，城东路往西为金沙公寓小区，北侧为城南路，城南路往北为港郦中心写字楼，南侧为空地，空地往南为沿山港和余杭官山九年制一贯学校施工现场</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地块周边历史上紧邻处无工业企业。</w:t>
      </w:r>
    </w:p>
    <w:p w14:paraId="2CBC6D6F">
      <w:pPr>
        <w:autoSpaceDE w:val="0"/>
        <w:autoSpaceDN w:val="0"/>
        <w:adjustRightInd w:val="0"/>
        <w:snapToGrid/>
        <w:spacing w:line="360" w:lineRule="auto"/>
        <w:ind w:firstLine="480" w:firstLineChars="20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val="en-US" w:eastAsia="zh-CN"/>
        </w:rPr>
        <w:t>参照</w:t>
      </w:r>
      <w:r>
        <w:rPr>
          <w:rFonts w:hint="default" w:ascii="Times New Roman" w:hAnsi="Times New Roman" w:eastAsia="宋体" w:cs="Times New Roman"/>
          <w:color w:val="auto"/>
          <w:highlight w:val="none"/>
          <w:lang w:eastAsia="zh-CN"/>
        </w:rPr>
        <w:t>浙江省生态环境厅浙江省自然资源厅和城乡建设厅关于印发《浙江省建设用地土壤污染风险管控和修复监督管理办法（修订）》的通知，浙环发〔2024〕47号：</w:t>
      </w:r>
    </w:p>
    <w:p w14:paraId="2770DD7B">
      <w:pPr>
        <w:autoSpaceDE w:val="0"/>
        <w:autoSpaceDN w:val="0"/>
        <w:adjustRightInd w:val="0"/>
        <w:snapToGrid/>
        <w:spacing w:line="360" w:lineRule="auto"/>
        <w:ind w:firstLine="480" w:firstLineChars="20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第十</w:t>
      </w:r>
      <w:r>
        <w:rPr>
          <w:rFonts w:hint="eastAsia" w:ascii="Times New Roman" w:hAnsi="Times New Roman" w:eastAsia="宋体" w:cs="Times New Roman"/>
          <w:color w:val="auto"/>
          <w:highlight w:val="none"/>
          <w:lang w:val="en-US" w:eastAsia="zh-CN"/>
        </w:rPr>
        <w:t>五</w:t>
      </w:r>
      <w:r>
        <w:rPr>
          <w:rFonts w:hint="default" w:ascii="Times New Roman" w:hAnsi="Times New Roman" w:eastAsia="宋体" w:cs="Times New Roman"/>
          <w:color w:val="auto"/>
          <w:highlight w:val="none"/>
          <w:lang w:eastAsia="zh-CN"/>
        </w:rPr>
        <w:t>条 属于甲类地块且原用途为农用地或未利用地的，同时满足以下条件的，相应的土壤污染调查以污染识别为主，可不进行采样检测：</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3169"/>
        <w:gridCol w:w="3458"/>
        <w:gridCol w:w="1112"/>
      </w:tblGrid>
      <w:tr w14:paraId="02130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1C5DF2D7">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序号</w:t>
            </w:r>
          </w:p>
        </w:tc>
        <w:tc>
          <w:tcPr>
            <w:tcW w:w="3610" w:type="dxa"/>
            <w:vAlign w:val="center"/>
          </w:tcPr>
          <w:p w14:paraId="615CD80E">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rPr>
              <w:t>［202</w:t>
            </w:r>
            <w:r>
              <w:rPr>
                <w:rFonts w:hint="default" w:ascii="Times New Roman" w:hAnsi="Times New Roman" w:eastAsia="宋体" w:cs="Times New Roman"/>
                <w:b w:val="0"/>
                <w:bCs w:val="0"/>
                <w:sz w:val="20"/>
                <w:szCs w:val="20"/>
                <w:lang w:val="en-US" w:eastAsia="zh-CN"/>
              </w:rPr>
              <w:t>4</w:t>
            </w:r>
            <w:r>
              <w:rPr>
                <w:rFonts w:hint="default" w:ascii="Times New Roman" w:hAnsi="Times New Roman" w:eastAsia="宋体" w:cs="Times New Roman"/>
                <w:b w:val="0"/>
                <w:bCs w:val="0"/>
                <w:sz w:val="20"/>
                <w:szCs w:val="20"/>
              </w:rPr>
              <w:t>］</w:t>
            </w:r>
            <w:r>
              <w:rPr>
                <w:rFonts w:hint="default" w:ascii="Times New Roman" w:hAnsi="Times New Roman" w:eastAsia="宋体" w:cs="Times New Roman"/>
                <w:b w:val="0"/>
                <w:bCs w:val="0"/>
                <w:sz w:val="20"/>
                <w:szCs w:val="20"/>
                <w:lang w:val="en-US" w:eastAsia="zh-CN"/>
              </w:rPr>
              <w:t>47</w:t>
            </w:r>
            <w:r>
              <w:rPr>
                <w:rFonts w:hint="default" w:ascii="Times New Roman" w:hAnsi="Times New Roman" w:eastAsia="宋体" w:cs="Times New Roman"/>
                <w:b w:val="0"/>
                <w:bCs w:val="0"/>
                <w:sz w:val="20"/>
                <w:szCs w:val="20"/>
              </w:rPr>
              <w:t>号</w:t>
            </w:r>
            <w:r>
              <w:rPr>
                <w:rFonts w:hint="default" w:ascii="Times New Roman" w:hAnsi="Times New Roman" w:eastAsia="宋体" w:cs="Times New Roman"/>
                <w:b w:val="0"/>
                <w:bCs w:val="0"/>
                <w:sz w:val="20"/>
                <w:szCs w:val="20"/>
                <w:lang w:val="en-US" w:eastAsia="zh-CN"/>
              </w:rPr>
              <w:t>规定</w:t>
            </w:r>
          </w:p>
        </w:tc>
        <w:tc>
          <w:tcPr>
            <w:tcW w:w="4040" w:type="dxa"/>
            <w:vAlign w:val="center"/>
          </w:tcPr>
          <w:p w14:paraId="53AD3440">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本地块情况</w:t>
            </w:r>
          </w:p>
        </w:tc>
        <w:tc>
          <w:tcPr>
            <w:tcW w:w="1254" w:type="dxa"/>
            <w:vAlign w:val="center"/>
          </w:tcPr>
          <w:p w14:paraId="7D56135F">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满足与否</w:t>
            </w:r>
          </w:p>
        </w:tc>
      </w:tr>
      <w:tr w14:paraId="7957F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24F351BF">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一</w:t>
            </w:r>
          </w:p>
        </w:tc>
        <w:tc>
          <w:tcPr>
            <w:tcW w:w="3610" w:type="dxa"/>
            <w:vAlign w:val="center"/>
          </w:tcPr>
          <w:p w14:paraId="43143B3B">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未曾涉及工矿企业用途、规模化畜禽养殖、有毒有害物质贮存或输送的</w:t>
            </w:r>
          </w:p>
        </w:tc>
        <w:tc>
          <w:tcPr>
            <w:tcW w:w="4040" w:type="dxa"/>
            <w:vAlign w:val="center"/>
          </w:tcPr>
          <w:p w14:paraId="625E190B">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经调查本地块历史上未曾涉及</w:t>
            </w:r>
            <w:r>
              <w:rPr>
                <w:rFonts w:hint="default" w:ascii="Times New Roman" w:hAnsi="Times New Roman" w:eastAsia="宋体" w:cs="Times New Roman"/>
                <w:b w:val="0"/>
                <w:bCs w:val="0"/>
                <w:sz w:val="20"/>
                <w:szCs w:val="20"/>
              </w:rPr>
              <w:t>工矿企业用途、规模化畜禽养殖、有毒有害物质贮存或输送</w:t>
            </w:r>
            <w:r>
              <w:rPr>
                <w:rFonts w:hint="default" w:ascii="Times New Roman" w:hAnsi="Times New Roman" w:eastAsia="宋体" w:cs="Times New Roman"/>
                <w:b w:val="0"/>
                <w:bCs w:val="0"/>
                <w:sz w:val="20"/>
                <w:szCs w:val="20"/>
                <w:lang w:eastAsia="zh-CN"/>
              </w:rPr>
              <w:t>。</w:t>
            </w:r>
          </w:p>
        </w:tc>
        <w:tc>
          <w:tcPr>
            <w:tcW w:w="1254" w:type="dxa"/>
            <w:vAlign w:val="center"/>
          </w:tcPr>
          <w:p w14:paraId="3E47CBF5">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3CB3A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7870B055">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二</w:t>
            </w:r>
          </w:p>
        </w:tc>
        <w:tc>
          <w:tcPr>
            <w:tcW w:w="3610" w:type="dxa"/>
            <w:vAlign w:val="center"/>
          </w:tcPr>
          <w:p w14:paraId="5B88469A">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未曾涉及生态环境污染事故、废水排放、固体废物堆放、固体废物倾倒或填埋的</w:t>
            </w:r>
          </w:p>
        </w:tc>
        <w:tc>
          <w:tcPr>
            <w:tcW w:w="4040" w:type="dxa"/>
            <w:vAlign w:val="center"/>
          </w:tcPr>
          <w:p w14:paraId="21E2604E">
            <w:pPr>
              <w:spacing w:line="240" w:lineRule="auto"/>
              <w:ind w:left="0" w:right="0" w:firstLine="0" w:firstLineChars="0"/>
              <w:jc w:val="center"/>
              <w:rPr>
                <w:rFonts w:hint="default" w:ascii="Times New Roman" w:hAnsi="Times New Roman" w:eastAsia="宋体" w:cs="Times New Roman"/>
                <w:b w:val="0"/>
                <w:bCs w:val="0"/>
                <w:sz w:val="20"/>
                <w:szCs w:val="20"/>
                <w:lang w:eastAsia="zh-CN"/>
              </w:rPr>
            </w:pPr>
            <w:r>
              <w:rPr>
                <w:rFonts w:hint="default" w:ascii="Times New Roman" w:hAnsi="Times New Roman" w:eastAsia="宋体" w:cs="Times New Roman"/>
                <w:b w:val="0"/>
                <w:bCs w:val="0"/>
                <w:sz w:val="20"/>
                <w:szCs w:val="20"/>
                <w:lang w:eastAsia="zh-CN"/>
              </w:rPr>
              <w:t>经调查本地块历史上</w:t>
            </w:r>
            <w:r>
              <w:rPr>
                <w:rFonts w:hint="default" w:ascii="Times New Roman" w:hAnsi="Times New Roman" w:eastAsia="宋体" w:cs="Times New Roman"/>
                <w:b w:val="0"/>
                <w:bCs w:val="0"/>
                <w:sz w:val="20"/>
                <w:szCs w:val="20"/>
              </w:rPr>
              <w:t>未曾涉及生态环境污染事故、废水排放、固体废物堆放、固体废物倾倒或填埋</w:t>
            </w:r>
            <w:r>
              <w:rPr>
                <w:rFonts w:hint="default" w:ascii="Times New Roman" w:hAnsi="Times New Roman" w:eastAsia="宋体" w:cs="Times New Roman"/>
                <w:b w:val="0"/>
                <w:bCs w:val="0"/>
                <w:sz w:val="20"/>
                <w:szCs w:val="20"/>
                <w:lang w:eastAsia="zh-CN"/>
              </w:rPr>
              <w:t>。</w:t>
            </w:r>
          </w:p>
        </w:tc>
        <w:tc>
          <w:tcPr>
            <w:tcW w:w="1254" w:type="dxa"/>
            <w:vAlign w:val="center"/>
          </w:tcPr>
          <w:p w14:paraId="59583CC0">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5C719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3D5CF9D9">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三</w:t>
            </w:r>
          </w:p>
        </w:tc>
        <w:tc>
          <w:tcPr>
            <w:tcW w:w="3610" w:type="dxa"/>
            <w:vAlign w:val="center"/>
          </w:tcPr>
          <w:p w14:paraId="10E675D4">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历史监测或</w:t>
            </w:r>
            <w:r>
              <w:rPr>
                <w:rFonts w:hint="default" w:ascii="Times New Roman" w:hAnsi="Times New Roman" w:eastAsia="宋体" w:cs="Times New Roman"/>
                <w:b w:val="0"/>
                <w:bCs w:val="0"/>
                <w:sz w:val="20"/>
                <w:szCs w:val="20"/>
                <w:lang w:val="en-US" w:eastAsia="zh-CN"/>
              </w:rPr>
              <w:t>现场快筛</w:t>
            </w:r>
            <w:r>
              <w:rPr>
                <w:rFonts w:hint="default" w:ascii="Times New Roman" w:hAnsi="Times New Roman" w:eastAsia="宋体" w:cs="Times New Roman"/>
                <w:b w:val="0"/>
                <w:bCs w:val="0"/>
                <w:sz w:val="20"/>
                <w:szCs w:val="20"/>
              </w:rPr>
              <w:t>表明不存在土壤或地下水污染的</w:t>
            </w:r>
          </w:p>
        </w:tc>
        <w:tc>
          <w:tcPr>
            <w:tcW w:w="4040" w:type="dxa"/>
            <w:vAlign w:val="center"/>
          </w:tcPr>
          <w:p w14:paraId="5F579F6A">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经调查本地块</w:t>
            </w:r>
            <w:r>
              <w:rPr>
                <w:rFonts w:hint="default" w:ascii="Times New Roman" w:hAnsi="Times New Roman" w:eastAsia="宋体" w:cs="Times New Roman"/>
                <w:b w:val="0"/>
                <w:bCs w:val="0"/>
                <w:sz w:val="20"/>
                <w:szCs w:val="20"/>
                <w:lang w:val="en-US" w:eastAsia="zh-CN"/>
              </w:rPr>
              <w:t>及</w:t>
            </w:r>
            <w:r>
              <w:rPr>
                <w:rFonts w:hint="default" w:ascii="Times New Roman" w:hAnsi="Times New Roman" w:eastAsia="宋体" w:cs="Times New Roman"/>
                <w:b w:val="0"/>
                <w:bCs w:val="0"/>
                <w:sz w:val="20"/>
                <w:szCs w:val="20"/>
                <w:lang w:eastAsia="zh-CN"/>
              </w:rPr>
              <w:t>紧邻地块不存在土壤或地下水污染。</w:t>
            </w:r>
          </w:p>
        </w:tc>
        <w:tc>
          <w:tcPr>
            <w:tcW w:w="1254" w:type="dxa"/>
            <w:vAlign w:val="center"/>
          </w:tcPr>
          <w:p w14:paraId="77890AB5">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551F6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317185F7">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四</w:t>
            </w:r>
          </w:p>
        </w:tc>
        <w:tc>
          <w:tcPr>
            <w:tcW w:w="3610" w:type="dxa"/>
            <w:vAlign w:val="center"/>
          </w:tcPr>
          <w:p w14:paraId="3C8F5893">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现场检查或踏勘表明不存在土壤或地下水污染迹象的，或者不存在紧邻周边污染源直接影响的</w:t>
            </w:r>
          </w:p>
        </w:tc>
        <w:tc>
          <w:tcPr>
            <w:tcW w:w="4040" w:type="dxa"/>
            <w:vAlign w:val="center"/>
          </w:tcPr>
          <w:p w14:paraId="7DA1C298">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经调查本地块现场踏勘不存在土壤及地下水污染迹象，同时不存在紧邻周边污染源直接影响</w:t>
            </w:r>
          </w:p>
        </w:tc>
        <w:tc>
          <w:tcPr>
            <w:tcW w:w="1254" w:type="dxa"/>
            <w:vAlign w:val="center"/>
          </w:tcPr>
          <w:p w14:paraId="0F6B9D5A">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43ECB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76D8D73C">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五</w:t>
            </w:r>
          </w:p>
        </w:tc>
        <w:tc>
          <w:tcPr>
            <w:tcW w:w="3610" w:type="dxa"/>
            <w:vAlign w:val="center"/>
          </w:tcPr>
          <w:p w14:paraId="128D28FD">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相关用地历史、污染状况等资料齐全，能够排除污染可能性的</w:t>
            </w:r>
          </w:p>
        </w:tc>
        <w:tc>
          <w:tcPr>
            <w:tcW w:w="4040" w:type="dxa"/>
            <w:vAlign w:val="center"/>
          </w:tcPr>
          <w:p w14:paraId="41DEA831">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依据本地块历史影像图、人员访谈、周边地块场地调查报告等，可排除本地块受污染的可能性</w:t>
            </w:r>
          </w:p>
        </w:tc>
        <w:tc>
          <w:tcPr>
            <w:tcW w:w="1254" w:type="dxa"/>
            <w:vAlign w:val="center"/>
          </w:tcPr>
          <w:p w14:paraId="708D32FE">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bl>
    <w:p w14:paraId="3D3FF22C">
      <w:pPr>
        <w:autoSpaceDE w:val="0"/>
        <w:autoSpaceDN w:val="0"/>
        <w:snapToGrid/>
        <w:spacing w:line="360" w:lineRule="auto"/>
        <w:ind w:firstLine="480" w:firstLineChars="200"/>
        <w:jc w:val="left"/>
        <w:rPr>
          <w:rFonts w:hint="eastAsia" w:cs="Times New Roman"/>
          <w:lang w:eastAsia="zh-CN"/>
        </w:rPr>
      </w:pPr>
      <w:r>
        <w:rPr>
          <w:rFonts w:hint="default" w:ascii="Times New Roman" w:hAnsi="Times New Roman" w:cs="Times New Roman"/>
          <w:lang w:val="en-US" w:eastAsia="zh-CN"/>
        </w:rPr>
        <w:t>根据资料收集、现场踏勘及人员访谈等调查，</w:t>
      </w:r>
      <w:r>
        <w:rPr>
          <w:rFonts w:hint="default" w:ascii="Times New Roman" w:hAnsi="Times New Roman" w:cs="Times New Roman"/>
        </w:rPr>
        <w:t>经</w:t>
      </w:r>
      <w:r>
        <w:rPr>
          <w:rFonts w:hint="default" w:ascii="Times New Roman" w:hAnsi="Times New Roman" w:cs="Times New Roman"/>
          <w:lang w:val="en-US" w:eastAsia="zh-CN"/>
        </w:rPr>
        <w:t>逐条对比</w:t>
      </w:r>
      <w:r>
        <w:rPr>
          <w:rFonts w:hint="default" w:ascii="Times New Roman" w:hAnsi="Times New Roman" w:cs="Times New Roman"/>
        </w:rPr>
        <w:t>分析认为</w:t>
      </w:r>
      <w:r>
        <w:rPr>
          <w:rFonts w:hint="default" w:ascii="Times New Roman" w:hAnsi="Times New Roman" w:cs="Times New Roman"/>
          <w:lang w:val="en-US" w:eastAsia="zh-CN"/>
        </w:rPr>
        <w:t>地块满足不进行采样检测的条件</w:t>
      </w:r>
      <w:r>
        <w:rPr>
          <w:rFonts w:hint="eastAsia" w:cs="Times New Roman"/>
          <w:lang w:eastAsia="zh-CN"/>
        </w:rPr>
        <w:t>，</w:t>
      </w:r>
      <w:r>
        <w:rPr>
          <w:rFonts w:hint="default" w:ascii="Times New Roman" w:hAnsi="Times New Roman" w:cs="Times New Roman"/>
        </w:rPr>
        <w:t>判断</w:t>
      </w:r>
      <w:r>
        <w:rPr>
          <w:rFonts w:hint="eastAsia" w:cs="Times New Roman"/>
          <w:lang w:val="en-US" w:eastAsia="zh-CN"/>
        </w:rPr>
        <w:t>本项目各地块</w:t>
      </w:r>
      <w:r>
        <w:rPr>
          <w:rFonts w:hint="default" w:ascii="Times New Roman" w:hAnsi="Times New Roman" w:cs="Times New Roman"/>
        </w:rPr>
        <w:t>内不具有潜在污染风险，地块周边历史用途对本地块土壤环境质量造成污染的可能性较小，为进一步排除地块存在潜在污染可能性的区域，本次土壤现状调查通过表层土壤快筛监测的方式了解土壤环境质量现状。</w:t>
      </w:r>
    </w:p>
    <w:p w14:paraId="371F40F5">
      <w:pPr>
        <w:autoSpaceDE w:val="0"/>
        <w:autoSpaceDN w:val="0"/>
        <w:snapToGrid/>
        <w:spacing w:line="360" w:lineRule="auto"/>
        <w:ind w:firstLine="480" w:firstLineChars="200"/>
        <w:jc w:val="left"/>
        <w:rPr>
          <w:rFonts w:hint="default" w:ascii="Times New Roman" w:hAnsi="Times New Roman" w:eastAsia="宋体" w:cs="Times New Roman"/>
        </w:rPr>
      </w:pPr>
      <w:r>
        <w:rPr>
          <w:rFonts w:hint="eastAsia" w:cs="Times New Roman"/>
          <w:lang w:eastAsia="zh-CN"/>
        </w:rPr>
        <w:t>结合</w:t>
      </w:r>
      <w:r>
        <w:rPr>
          <w:rFonts w:hint="default" w:ascii="Times New Roman" w:hAnsi="Times New Roman" w:eastAsia="宋体" w:cs="Times New Roman"/>
        </w:rPr>
        <w:t>本</w:t>
      </w:r>
      <w:r>
        <w:rPr>
          <w:rFonts w:hint="eastAsia" w:cs="Times New Roman"/>
          <w:lang w:eastAsia="zh-CN"/>
        </w:rPr>
        <w:t>项目各地</w:t>
      </w:r>
      <w:r>
        <w:rPr>
          <w:rFonts w:hint="default" w:ascii="Times New Roman" w:hAnsi="Times New Roman" w:eastAsia="宋体" w:cs="Times New Roman"/>
        </w:rPr>
        <w:t>土壤快筛监测</w:t>
      </w:r>
      <w:r>
        <w:rPr>
          <w:rFonts w:hint="eastAsia" w:cs="Times New Roman"/>
          <w:lang w:eastAsia="zh-CN"/>
        </w:rPr>
        <w:t>方案及检测结果，各地块</w:t>
      </w:r>
      <w:r>
        <w:rPr>
          <w:rFonts w:hint="default" w:ascii="Times New Roman" w:hAnsi="Times New Roman" w:eastAsia="宋体" w:cs="Times New Roman"/>
        </w:rPr>
        <w:t>表层土壤的挥发性有机物和8项重金属，根据检测结果表明，地块内土壤挥发性有机化合物及部分气态无机物浓度较低，地块内土壤重金属快筛检测因子检出浓度均低于《土壤环境质量建设用地土壤风险污染管控标准（试行）》（GB36600-2018）第一类用地风险筛选值和《建设用地土壤污染风险评估技术导则》（DB33/T892-2022）敏感用地筛选值。满足《国土空间调查、规划、用途管制用地用海分类指南》中0</w:t>
      </w:r>
      <w:r>
        <w:rPr>
          <w:rFonts w:hint="eastAsia" w:ascii="Times New Roman" w:hAnsi="Times New Roman" w:eastAsia="宋体" w:cs="Times New Roman"/>
          <w:lang w:val="en-US" w:eastAsia="zh-CN"/>
        </w:rPr>
        <w:t>8</w:t>
      </w:r>
      <w:r>
        <w:rPr>
          <w:rFonts w:hint="default" w:ascii="Times New Roman" w:hAnsi="Times New Roman" w:eastAsia="宋体" w:cs="Times New Roman"/>
        </w:rPr>
        <w:t>03</w:t>
      </w:r>
      <w:r>
        <w:rPr>
          <w:rFonts w:hint="eastAsia" w:ascii="Times New Roman" w:hAnsi="Times New Roman" w:eastAsia="宋体" w:cs="Times New Roman"/>
          <w:lang w:val="en-US" w:eastAsia="zh-CN"/>
        </w:rPr>
        <w:t>文化用地</w:t>
      </w:r>
      <w:r>
        <w:rPr>
          <w:rFonts w:hint="default" w:ascii="Times New Roman" w:hAnsi="Times New Roman" w:eastAsia="宋体" w:cs="Times New Roman"/>
        </w:rPr>
        <w:t>的开发需求。</w:t>
      </w:r>
    </w:p>
    <w:p w14:paraId="0F30854B">
      <w:pPr>
        <w:autoSpaceDE w:val="0"/>
        <w:autoSpaceDN w:val="0"/>
        <w:snapToGrid/>
        <w:spacing w:line="360" w:lineRule="auto"/>
        <w:ind w:firstLine="480" w:firstLineChars="200"/>
        <w:jc w:val="left"/>
        <w:rPr>
          <w:rFonts w:hint="default" w:eastAsia="Times New Roman" w:cs="Times New Roman"/>
          <w:lang w:eastAsia="zh-CN"/>
        </w:rPr>
      </w:pPr>
      <w:r>
        <w:rPr>
          <w:rFonts w:hint="default" w:eastAsia="Times New Roman" w:cs="Times New Roman"/>
          <w:lang w:eastAsia="zh-CN"/>
        </w:rPr>
        <w:t>综上</w:t>
      </w:r>
      <w:r>
        <w:rPr>
          <w:rFonts w:hint="eastAsia" w:eastAsia="Times New Roman" w:cs="Times New Roman"/>
          <w:lang w:eastAsia="zh-CN"/>
        </w:rPr>
        <w:t>所述</w:t>
      </w:r>
      <w:r>
        <w:rPr>
          <w:rFonts w:hint="default" w:eastAsia="Times New Roman" w:cs="Times New Roman"/>
          <w:lang w:eastAsia="zh-CN"/>
        </w:rPr>
        <w:t>，本地块土壤环境质量满足第一类用地需求，本次调查活动在第一阶段结束，无需要开展第二阶段调查，可用于后续开发建设</w:t>
      </w:r>
      <w:r>
        <w:rPr>
          <w:rFonts w:hint="eastAsia" w:eastAsia="Times New Roman" w:cs="Times New Roman"/>
          <w:lang w:eastAsia="zh-CN"/>
        </w:rPr>
        <w:t>，</w:t>
      </w:r>
      <w:r>
        <w:rPr>
          <w:rFonts w:hint="default" w:eastAsia="Times New Roman" w:cs="Times New Roman"/>
          <w:lang w:eastAsia="zh-CN"/>
        </w:rPr>
        <w:t>认为</w:t>
      </w:r>
      <w:r>
        <w:rPr>
          <w:rFonts w:hint="eastAsia" w:eastAsia="Times New Roman" w:cs="Times New Roman"/>
          <w:lang w:eastAsia="zh-CN"/>
        </w:rPr>
        <w:t>本项目</w:t>
      </w:r>
      <w:r>
        <w:rPr>
          <w:rFonts w:hint="default" w:eastAsia="Times New Roman" w:cs="Times New Roman"/>
          <w:lang w:eastAsia="zh-CN"/>
        </w:rPr>
        <w:t>场地调查可</w:t>
      </w:r>
      <w:r>
        <w:rPr>
          <w:rFonts w:hint="eastAsia" w:eastAsia="Times New Roman" w:cs="Times New Roman"/>
          <w:lang w:eastAsia="zh-CN"/>
        </w:rPr>
        <w:t>结束</w:t>
      </w:r>
      <w:r>
        <w:rPr>
          <w:rFonts w:hint="default" w:eastAsia="Times New Roman" w:cs="Times New Roman"/>
          <w:lang w:eastAsia="zh-CN"/>
        </w:rPr>
        <w:t>。</w:t>
      </w:r>
    </w:p>
    <w:p w14:paraId="2234A7BE">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 Antiqua">
    <w:panose1 w:val="02040602050305030304"/>
    <w:charset w:val="00"/>
    <w:family w:val="roman"/>
    <w:pitch w:val="default"/>
    <w:sig w:usb0="00000287" w:usb1="00000000" w:usb2="00000000" w:usb3="00000000" w:csb0="2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C45DD8"/>
    <w:rsid w:val="1EC45DD8"/>
    <w:rsid w:val="1ED45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utoSpaceDE w:val="0"/>
      <w:autoSpaceDN w:val="0"/>
      <w:adjustRightInd w:val="0"/>
    </w:pPr>
    <w:rPr>
      <w:rFonts w:ascii="Book Antiqua" w:hAnsi="Book Antiqua" w:eastAsia="Times New Roman" w:cs="Times New Roman"/>
      <w:sz w:val="24"/>
      <w:szCs w:val="24"/>
      <w:lang w:val="en-US" w:eastAsia="en-US"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
    <w:name w:val="00正文zw"/>
    <w:basedOn w:val="1"/>
    <w:qFormat/>
    <w:uiPriority w:val="99"/>
    <w:pPr>
      <w:autoSpaceDE/>
      <w:autoSpaceDN/>
      <w:adjustRightInd/>
      <w:spacing w:line="480" w:lineRule="exact"/>
      <w:ind w:firstLine="200" w:firstLineChars="200"/>
    </w:pPr>
    <w:rPr>
      <w:rFonts w:ascii="Times New Roman" w:hAnsi="Times New Roman" w:eastAsia="宋体" w:cs="Times New Roman"/>
      <w:color w:val="000000"/>
      <w:sz w:val="24"/>
      <w:szCs w:val="24"/>
      <w:lang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1327</Words>
  <Characters>1407</Characters>
  <Lines>0</Lines>
  <Paragraphs>0</Paragraphs>
  <TotalTime>1</TotalTime>
  <ScaleCrop>false</ScaleCrop>
  <LinksUpToDate>false</LinksUpToDate>
  <CharactersWithSpaces>1408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2025-07-15T07:57:00Z</dcterms:created>
  <dc:creator>卟零</dc:creator>
  <cp:lastModifiedBy>瓜子</cp:lastModifiedBy>
  <dcterms:modified xsi:type="dcterms:W3CDTF">2025-07-16T01:12:12Z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3419089BB260489B8F2E4371F7B97FDA_13</vt:lpwstr>
  </property>
  <property fmtid="{D5CDD505-2E9C-101B-9397-08002B2CF9AE}" pid="4" name="KSOTemplateDocerSaveRecord">
    <vt:lpwstr>eyJoZGlkIjoiNjUxYTRiYjU5YjBkZWFmZTM3NmI3OGQ3NTM2OTVjNmUiLCJ1c2VySWQiOiIxNjA4NDU1NjU2In0=</vt:lpwstr>
  </property>
</Properties>
</file>