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480E79C">
      <w:pPr>
        <w:autoSpaceDE/>
        <w:autoSpaceDN/>
        <w:adjustRightInd/>
        <w:jc w:val="center"/>
        <w:rPr>
          <w:rFonts w:hint="eastAsia" w:ascii="宋体" w:hAnsi="宋体" w:eastAsia="宋体" w:cs="宋体"/>
          <w:b/>
          <w:bCs/>
          <w:sz w:val="44"/>
          <w:szCs w:val="44"/>
          <w:highlight w:val="none"/>
          <w:lang w:eastAsia="zh-CN"/>
        </w:rPr>
      </w:pPr>
      <w:bookmarkStart w:id="0" w:name="_GoBack"/>
      <w:bookmarkEnd w:id="0"/>
      <w:r>
        <w:rPr>
          <w:rFonts w:hint="eastAsia" w:ascii="宋体" w:hAnsi="宋体" w:eastAsia="宋体" w:cs="宋体"/>
          <w:b/>
          <w:bCs/>
          <w:sz w:val="44"/>
          <w:szCs w:val="44"/>
          <w:highlight w:val="none"/>
          <w:lang w:eastAsia="zh-CN"/>
        </w:rPr>
        <w:t>摘</w:t>
      </w:r>
      <w:r>
        <w:rPr>
          <w:rFonts w:ascii="Times New Roman" w:hAnsi="Times New Roman"/>
          <w:b/>
          <w:bCs/>
          <w:sz w:val="44"/>
          <w:szCs w:val="44"/>
          <w:highlight w:val="none"/>
          <w:lang w:eastAsia="zh-CN"/>
        </w:rPr>
        <w:t xml:space="preserve">  </w:t>
      </w:r>
      <w:r>
        <w:rPr>
          <w:rFonts w:hint="eastAsia" w:ascii="宋体" w:hAnsi="宋体" w:eastAsia="宋体" w:cs="宋体"/>
          <w:b/>
          <w:bCs/>
          <w:sz w:val="44"/>
          <w:szCs w:val="44"/>
          <w:highlight w:val="none"/>
          <w:lang w:eastAsia="zh-CN"/>
        </w:rPr>
        <w:t>要</w:t>
      </w:r>
    </w:p>
    <w:p w14:paraId="01B7E262">
      <w:pPr>
        <w:pStyle w:val="2"/>
        <w:numPr>
          <w:ilvl w:val="0"/>
          <w:numId w:val="1"/>
        </w:numPr>
        <w:adjustRightInd w:val="0"/>
        <w:snapToGrid w:val="0"/>
        <w:ind w:firstLine="0" w:firstLineChars="0"/>
        <w:rPr>
          <w:rFonts w:hint="default" w:ascii="Times New Roman" w:hAnsi="Times New Roman" w:eastAsia="宋体" w:cs="Times New Roman"/>
          <w:b/>
          <w:bCs/>
          <w:sz w:val="28"/>
          <w:szCs w:val="28"/>
          <w:highlight w:val="none"/>
          <w:lang w:val="en-US"/>
        </w:rPr>
      </w:pPr>
      <w:r>
        <w:rPr>
          <w:rFonts w:hint="default" w:ascii="Times New Roman" w:hAnsi="Times New Roman" w:eastAsia="宋体" w:cs="Times New Roman"/>
          <w:b/>
          <w:bCs/>
          <w:sz w:val="28"/>
          <w:szCs w:val="28"/>
          <w:highlight w:val="none"/>
          <w:lang w:val="en-US"/>
        </w:rPr>
        <w:t>地块描述</w:t>
      </w:r>
    </w:p>
    <w:p w14:paraId="02C9BECF">
      <w:pPr>
        <w:pStyle w:val="7"/>
        <w:keepNext w:val="0"/>
        <w:keepLines w:val="0"/>
        <w:pageBreakBefore w:val="0"/>
        <w:widowControl w:val="0"/>
        <w:kinsoku/>
        <w:wordWrap/>
        <w:overflowPunct/>
        <w:topLinePunct w:val="0"/>
        <w:autoSpaceDE/>
        <w:autoSpaceDN/>
        <w:bidi w:val="0"/>
        <w:adjustRightInd/>
        <w:snapToGrid/>
        <w:spacing w:line="360" w:lineRule="auto"/>
        <w:ind w:firstLine="480"/>
        <w:jc w:val="both"/>
        <w:textAlignment w:val="auto"/>
        <w:outlineLvl w:val="9"/>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sz w:val="24"/>
          <w:szCs w:val="24"/>
          <w:highlight w:val="none"/>
          <w:lang w:val="en-US" w:eastAsia="zh-CN"/>
        </w:rPr>
        <w:t>海盐漂染厂</w:t>
      </w:r>
      <w:r>
        <w:rPr>
          <w:rFonts w:hint="default" w:ascii="Times New Roman" w:hAnsi="Times New Roman" w:eastAsia="宋体" w:cs="Times New Roman"/>
          <w:color w:val="auto"/>
          <w:sz w:val="24"/>
          <w:szCs w:val="24"/>
          <w:highlight w:val="none"/>
        </w:rPr>
        <w:t>位于</w:t>
      </w:r>
      <w:r>
        <w:rPr>
          <w:rFonts w:hint="default" w:ascii="Times New Roman" w:hAnsi="Times New Roman" w:eastAsia="宋体" w:cs="Times New Roman"/>
          <w:sz w:val="24"/>
          <w:szCs w:val="24"/>
          <w:highlight w:val="none"/>
        </w:rPr>
        <w:t>浙江省嘉兴市海盐县</w:t>
      </w:r>
      <w:r>
        <w:rPr>
          <w:rFonts w:hint="default" w:ascii="Times New Roman" w:hAnsi="Times New Roman" w:eastAsia="宋体" w:cs="Times New Roman"/>
          <w:sz w:val="24"/>
          <w:szCs w:val="24"/>
          <w:highlight w:val="none"/>
          <w:lang w:eastAsia="zh-CN"/>
        </w:rPr>
        <w:t>望海街道</w:t>
      </w:r>
      <w:r>
        <w:rPr>
          <w:rFonts w:hint="default" w:ascii="Times New Roman" w:hAnsi="Times New Roman" w:eastAsia="宋体" w:cs="Times New Roman"/>
          <w:sz w:val="24"/>
          <w:szCs w:val="24"/>
          <w:highlight w:val="none"/>
        </w:rPr>
        <w:t>电庄村九里湾15号，</w:t>
      </w:r>
      <w:r>
        <w:rPr>
          <w:rFonts w:hint="default" w:ascii="Times New Roman" w:hAnsi="Times New Roman" w:eastAsia="宋体" w:cs="Times New Roman"/>
          <w:sz w:val="24"/>
          <w:szCs w:val="24"/>
          <w:highlight w:val="none"/>
          <w:lang w:val="en-US" w:eastAsia="zh-CN"/>
        </w:rPr>
        <w:t>根据海盐漂染厂红线图可知北至横三路，东至空地</w:t>
      </w:r>
      <w:r>
        <w:rPr>
          <w:rFonts w:hint="default" w:ascii="Times New Roman" w:hAnsi="Times New Roman" w:eastAsia="宋体" w:cs="Times New Roman"/>
          <w:sz w:val="24"/>
          <w:szCs w:val="24"/>
          <w:highlight w:val="none"/>
          <w:lang w:eastAsia="zh-CN" w:bidi="ar"/>
        </w:rPr>
        <w:t>，</w:t>
      </w:r>
      <w:r>
        <w:rPr>
          <w:rFonts w:hint="default" w:ascii="Times New Roman" w:hAnsi="Times New Roman" w:eastAsia="宋体" w:cs="Times New Roman"/>
          <w:sz w:val="24"/>
          <w:szCs w:val="24"/>
          <w:highlight w:val="none"/>
          <w:lang w:val="en-US" w:eastAsia="zh-CN" w:bidi="ar"/>
        </w:rPr>
        <w:t>南至</w:t>
      </w:r>
      <w:r>
        <w:rPr>
          <w:rFonts w:hint="default" w:ascii="Times New Roman" w:hAnsi="Times New Roman" w:eastAsia="宋体" w:cs="Times New Roman"/>
          <w:sz w:val="24"/>
          <w:szCs w:val="24"/>
          <w:highlight w:val="none"/>
          <w:lang w:bidi="ar"/>
        </w:rPr>
        <w:t>海盐通惠铸造有限公司</w:t>
      </w:r>
      <w:r>
        <w:rPr>
          <w:rFonts w:hint="default" w:ascii="Times New Roman" w:hAnsi="Times New Roman" w:eastAsia="宋体" w:cs="Times New Roman"/>
          <w:sz w:val="24"/>
          <w:szCs w:val="24"/>
          <w:highlight w:val="none"/>
          <w:lang w:eastAsia="zh-CN" w:bidi="ar"/>
        </w:rPr>
        <w:t>，</w:t>
      </w:r>
      <w:r>
        <w:rPr>
          <w:rFonts w:hint="default" w:ascii="Times New Roman" w:hAnsi="Times New Roman" w:eastAsia="宋体" w:cs="Times New Roman"/>
          <w:sz w:val="24"/>
          <w:szCs w:val="24"/>
          <w:highlight w:val="none"/>
          <w:lang w:val="en-US" w:eastAsia="zh-CN" w:bidi="ar"/>
        </w:rPr>
        <w:t>西至纵五路，</w:t>
      </w:r>
      <w:r>
        <w:rPr>
          <w:rFonts w:hint="default" w:ascii="Times New Roman" w:hAnsi="Times New Roman" w:eastAsia="宋体" w:cs="Times New Roman"/>
          <w:sz w:val="24"/>
          <w:szCs w:val="24"/>
          <w:highlight w:val="none"/>
        </w:rPr>
        <w:t>占地面积6022.7平方米</w:t>
      </w:r>
      <w:r>
        <w:rPr>
          <w:rFonts w:hint="default"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sz w:val="24"/>
          <w:szCs w:val="24"/>
          <w:highlight w:val="none"/>
          <w:lang w:val="en-US" w:eastAsia="zh-CN" w:bidi="ar"/>
        </w:rPr>
        <w:t>通过人员访谈了解到，</w:t>
      </w:r>
      <w:r>
        <w:rPr>
          <w:rFonts w:hint="default" w:ascii="Times New Roman" w:hAnsi="Times New Roman" w:eastAsia="宋体" w:cs="Times New Roman"/>
          <w:color w:val="auto"/>
          <w:sz w:val="24"/>
          <w:szCs w:val="24"/>
          <w:highlight w:val="none"/>
          <w:lang w:val="en-US" w:eastAsia="zh-CN"/>
        </w:rPr>
        <w:t>海盐漂染厂实际厂区范围比红线范围大，根据海盐漂染厂实际占用范围的拐点坐标可知，面积为9231m</w:t>
      </w:r>
      <w:r>
        <w:rPr>
          <w:rFonts w:hint="default" w:ascii="Times New Roman" w:hAnsi="Times New Roman" w:eastAsia="宋体" w:cs="Times New Roman"/>
          <w:b w:val="0"/>
          <w:bCs w:val="0"/>
          <w:color w:val="auto"/>
          <w:sz w:val="24"/>
          <w:szCs w:val="24"/>
          <w:highlight w:val="none"/>
          <w:u w:val="none"/>
          <w:vertAlign w:val="superscript"/>
          <w:lang w:val="en-US" w:eastAsia="zh-CN"/>
        </w:rPr>
        <w:t>2</w:t>
      </w:r>
      <w:r>
        <w:rPr>
          <w:rFonts w:hint="default" w:ascii="Times New Roman" w:hAnsi="Times New Roman" w:eastAsia="宋体" w:cs="Times New Roman"/>
          <w:color w:val="auto"/>
          <w:sz w:val="24"/>
          <w:szCs w:val="24"/>
          <w:highlight w:val="none"/>
          <w:lang w:val="en-US" w:eastAsia="zh-CN"/>
        </w:rPr>
        <w:t>，本次调查范围也是以海盐漂染厂实际占用范围。</w:t>
      </w:r>
      <w:r>
        <w:rPr>
          <w:rFonts w:hint="eastAsia" w:ascii="Times New Roman" w:hAnsi="Times New Roman" w:eastAsia="宋体" w:cs="Times New Roman"/>
          <w:color w:val="auto"/>
          <w:highlight w:val="none"/>
          <w:lang w:val="en-US" w:eastAsia="zh-CN"/>
        </w:rPr>
        <w:t>海盐漂染厂是一家从事加工、印染绞纱的企业，该</w:t>
      </w:r>
      <w:r>
        <w:rPr>
          <w:rFonts w:hint="eastAsia" w:cs="Times New Roman"/>
          <w:color w:val="auto"/>
          <w:highlight w:val="none"/>
          <w:lang w:val="en-US" w:eastAsia="zh-CN"/>
        </w:rPr>
        <w:t>企业于2019年6月停产，于2023年11月更名为</w:t>
      </w:r>
      <w:r>
        <w:rPr>
          <w:rFonts w:hint="eastAsia" w:ascii="Times New Roman" w:hAnsi="Times New Roman" w:eastAsia="宋体" w:cs="Times New Roman"/>
          <w:color w:val="auto"/>
          <w:highlight w:val="none"/>
          <w:lang w:val="en-US" w:eastAsia="zh-CN"/>
        </w:rPr>
        <w:t>嘉兴锦弘科技有限公司</w:t>
      </w:r>
      <w:r>
        <w:rPr>
          <w:rFonts w:hint="eastAsia" w:cs="Times New Roman"/>
          <w:color w:val="auto"/>
          <w:highlight w:val="none"/>
          <w:lang w:val="en-US" w:eastAsia="zh-CN"/>
        </w:rPr>
        <w:t>，以后不再从事印染行业，</w:t>
      </w:r>
      <w:r>
        <w:rPr>
          <w:rFonts w:hint="eastAsia" w:ascii="Times New Roman" w:hAnsi="Times New Roman" w:eastAsia="宋体" w:cs="Times New Roman"/>
          <w:color w:val="auto"/>
          <w:highlight w:val="none"/>
          <w:lang w:val="en-US" w:eastAsia="zh-CN"/>
        </w:rPr>
        <w:t>该</w:t>
      </w:r>
      <w:r>
        <w:rPr>
          <w:rFonts w:hint="default" w:ascii="Times New Roman" w:hAnsi="Times New Roman" w:eastAsia="宋体" w:cs="Times New Roman"/>
          <w:color w:val="auto"/>
          <w:highlight w:val="none"/>
          <w:lang w:val="en-US" w:eastAsia="zh-CN"/>
        </w:rPr>
        <w:t>地块</w:t>
      </w:r>
      <w:r>
        <w:rPr>
          <w:rFonts w:hint="eastAsia" w:ascii="Times New Roman" w:hAnsi="Times New Roman" w:eastAsia="宋体" w:cs="Times New Roman"/>
          <w:color w:val="auto"/>
          <w:highlight w:val="none"/>
          <w:lang w:val="en-US" w:eastAsia="zh-CN"/>
        </w:rPr>
        <w:t>用地性质为工业用地（1001）</w:t>
      </w:r>
      <w:r>
        <w:rPr>
          <w:rFonts w:hint="default" w:ascii="Times New Roman" w:hAnsi="Times New Roman" w:eastAsia="宋体" w:cs="Times New Roman"/>
          <w:color w:val="auto"/>
          <w:highlight w:val="none"/>
          <w:lang w:val="en-US" w:eastAsia="zh-CN"/>
        </w:rPr>
        <w:t>。</w:t>
      </w:r>
    </w:p>
    <w:p w14:paraId="350FD4B0">
      <w:pPr>
        <w:pStyle w:val="7"/>
        <w:keepNext w:val="0"/>
        <w:keepLines w:val="0"/>
        <w:pageBreakBefore w:val="0"/>
        <w:widowControl w:val="0"/>
        <w:kinsoku/>
        <w:wordWrap/>
        <w:overflowPunct/>
        <w:topLinePunct w:val="0"/>
        <w:autoSpaceDE/>
        <w:autoSpaceDN/>
        <w:bidi w:val="0"/>
        <w:adjustRightInd/>
        <w:snapToGrid/>
        <w:spacing w:line="360" w:lineRule="auto"/>
        <w:ind w:firstLine="480"/>
        <w:jc w:val="both"/>
        <w:textAlignment w:val="auto"/>
        <w:outlineLvl w:val="9"/>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sz w:val="24"/>
          <w:szCs w:val="24"/>
          <w:highlight w:val="none"/>
          <w:lang w:val="en-US" w:eastAsia="zh-CN"/>
        </w:rPr>
        <w:t>根据</w:t>
      </w:r>
      <w:r>
        <w:rPr>
          <w:rFonts w:hint="default" w:ascii="Times New Roman" w:hAnsi="Times New Roman" w:eastAsia="宋体" w:cs="Times New Roman"/>
          <w:color w:val="auto"/>
          <w:sz w:val="24"/>
          <w:szCs w:val="24"/>
          <w:highlight w:val="none"/>
          <w:lang w:eastAsia="zh-CN"/>
        </w:rPr>
        <w:t>现场</w:t>
      </w:r>
      <w:r>
        <w:rPr>
          <w:rFonts w:hint="default" w:ascii="Times New Roman" w:hAnsi="Times New Roman" w:eastAsia="宋体" w:cs="Times New Roman"/>
          <w:color w:val="auto"/>
          <w:sz w:val="24"/>
          <w:szCs w:val="24"/>
          <w:highlight w:val="none"/>
          <w:lang w:val="en-US" w:eastAsia="zh-CN"/>
        </w:rPr>
        <w:t>踏勘</w:t>
      </w:r>
      <w:r>
        <w:rPr>
          <w:rFonts w:hint="eastAsia" w:ascii="Times New Roman" w:hAnsi="Times New Roman" w:eastAsia="宋体" w:cs="Times New Roman"/>
          <w:color w:val="auto"/>
          <w:sz w:val="24"/>
          <w:szCs w:val="24"/>
          <w:highlight w:val="none"/>
          <w:lang w:val="en-US" w:eastAsia="zh-CN"/>
        </w:rPr>
        <w:t>及人员访谈了解到</w:t>
      </w:r>
      <w:r>
        <w:rPr>
          <w:rFonts w:hint="default" w:ascii="Times New Roman" w:hAnsi="Times New Roman" w:eastAsia="宋体" w:cs="Times New Roman"/>
          <w:color w:val="auto"/>
          <w:sz w:val="24"/>
          <w:szCs w:val="24"/>
          <w:highlight w:val="none"/>
          <w:lang w:eastAsia="zh-CN"/>
        </w:rPr>
        <w:t>，</w:t>
      </w:r>
      <w:r>
        <w:rPr>
          <w:rFonts w:hint="eastAsia" w:ascii="Times New Roman" w:hAnsi="Times New Roman" w:eastAsia="宋体" w:cs="Times New Roman"/>
          <w:color w:val="auto"/>
          <w:sz w:val="24"/>
          <w:szCs w:val="24"/>
          <w:highlight w:val="none"/>
          <w:lang w:val="en-US" w:eastAsia="zh-CN"/>
        </w:rPr>
        <w:t>企业目前处于停产状态，生产设备都已经拆除并搬离厂区。</w:t>
      </w:r>
      <w:r>
        <w:rPr>
          <w:rFonts w:hint="eastAsia" w:ascii="Times New Roman" w:hAnsi="Times New Roman" w:eastAsia="宋体" w:cs="Times New Roman"/>
          <w:spacing w:val="-1"/>
          <w:sz w:val="24"/>
          <w:szCs w:val="24"/>
          <w:highlight w:val="none"/>
        </w:rPr>
        <w:t>企业在整个生产过程中厂区内无物料或者固体废物的填埋，</w:t>
      </w:r>
      <w:r>
        <w:rPr>
          <w:rFonts w:ascii="Times New Roman" w:hAnsi="Times New Roman" w:eastAsia="宋体" w:cs="Times New Roman"/>
          <w:spacing w:val="-1"/>
          <w:sz w:val="24"/>
          <w:szCs w:val="24"/>
          <w:highlight w:val="none"/>
        </w:rPr>
        <w:t>企</w:t>
      </w:r>
      <w:r>
        <w:rPr>
          <w:rFonts w:ascii="Times New Roman" w:hAnsi="Times New Roman" w:eastAsia="宋体" w:cs="Times New Roman"/>
          <w:spacing w:val="-2"/>
          <w:sz w:val="24"/>
          <w:szCs w:val="24"/>
          <w:highlight w:val="none"/>
        </w:rPr>
        <w:t>业停产后</w:t>
      </w:r>
      <w:r>
        <w:rPr>
          <w:rFonts w:ascii="Times New Roman" w:hAnsi="Times New Roman" w:eastAsia="宋体" w:cs="Times New Roman"/>
          <w:sz w:val="24"/>
          <w:szCs w:val="24"/>
          <w:highlight w:val="none"/>
        </w:rPr>
        <w:t>遗留的原料（坯纱、染料、助剂等）已由原料厂家进行回收重</w:t>
      </w:r>
      <w:r>
        <w:rPr>
          <w:rFonts w:ascii="Times New Roman" w:hAnsi="Times New Roman" w:eastAsia="宋体" w:cs="Times New Roman"/>
          <w:spacing w:val="-3"/>
          <w:sz w:val="24"/>
          <w:szCs w:val="24"/>
          <w:highlight w:val="none"/>
        </w:rPr>
        <w:t>新利用，不作为危险废物进行处置；对属于危险废物的染料、助剂废包装袋企业已于2019年6月</w:t>
      </w:r>
      <w:r>
        <w:rPr>
          <w:rFonts w:ascii="Times New Roman" w:hAnsi="Times New Roman" w:eastAsia="宋体" w:cs="Times New Roman"/>
          <w:spacing w:val="2"/>
          <w:sz w:val="24"/>
          <w:szCs w:val="24"/>
          <w:highlight w:val="none"/>
        </w:rPr>
        <w:t>委托</w:t>
      </w:r>
      <w:r>
        <w:rPr>
          <w:rFonts w:hint="eastAsia" w:ascii="Times New Roman" w:hAnsi="Times New Roman" w:cs="Times New Roman"/>
          <w:sz w:val="24"/>
          <w:szCs w:val="24"/>
          <w:highlight w:val="none"/>
        </w:rPr>
        <w:t>嘉兴市凯港化工储运有限公司运输至嘉兴市固体废物处置有限责任公司</w:t>
      </w:r>
      <w:r>
        <w:rPr>
          <w:rFonts w:ascii="Times New Roman" w:hAnsi="Times New Roman" w:eastAsia="宋体" w:cs="Times New Roman"/>
          <w:spacing w:val="2"/>
          <w:sz w:val="24"/>
          <w:szCs w:val="24"/>
          <w:highlight w:val="none"/>
        </w:rPr>
        <w:t>进行处</w:t>
      </w:r>
      <w:r>
        <w:rPr>
          <w:rFonts w:ascii="Times New Roman" w:hAnsi="Times New Roman" w:eastAsia="宋体" w:cs="Times New Roman"/>
          <w:spacing w:val="1"/>
          <w:sz w:val="24"/>
          <w:szCs w:val="24"/>
          <w:highlight w:val="none"/>
        </w:rPr>
        <w:t>置。故现场踏勘期间海盐</w:t>
      </w:r>
      <w:r>
        <w:rPr>
          <w:rFonts w:hint="eastAsia" w:ascii="Times New Roman" w:hAnsi="Times New Roman" w:eastAsia="宋体" w:cs="Times New Roman"/>
          <w:spacing w:val="1"/>
          <w:sz w:val="24"/>
          <w:szCs w:val="24"/>
          <w:highlight w:val="none"/>
        </w:rPr>
        <w:t>漂</w:t>
      </w:r>
      <w:r>
        <w:rPr>
          <w:rFonts w:ascii="Times New Roman" w:hAnsi="Times New Roman" w:eastAsia="宋体" w:cs="Times New Roman"/>
          <w:spacing w:val="1"/>
          <w:sz w:val="24"/>
          <w:szCs w:val="24"/>
          <w:highlight w:val="none"/>
        </w:rPr>
        <w:t>染厂无</w:t>
      </w:r>
      <w:r>
        <w:rPr>
          <w:rFonts w:hint="eastAsia" w:ascii="Times New Roman" w:hAnsi="Times New Roman" w:eastAsia="宋体" w:cs="Times New Roman"/>
          <w:spacing w:val="1"/>
          <w:sz w:val="24"/>
          <w:szCs w:val="24"/>
          <w:highlight w:val="none"/>
        </w:rPr>
        <w:t>遗留物料及残留污染物</w:t>
      </w:r>
      <w:r>
        <w:rPr>
          <w:rFonts w:ascii="Times New Roman" w:hAnsi="Times New Roman" w:eastAsia="宋体" w:cs="Times New Roman"/>
          <w:spacing w:val="-1"/>
          <w:sz w:val="24"/>
          <w:szCs w:val="24"/>
          <w:highlight w:val="none"/>
        </w:rPr>
        <w:t>。</w:t>
      </w:r>
      <w:r>
        <w:rPr>
          <w:rFonts w:hint="eastAsia" w:ascii="Times New Roman" w:hAnsi="Times New Roman" w:cs="Times New Roman"/>
          <w:sz w:val="24"/>
          <w:szCs w:val="24"/>
          <w:highlight w:val="none"/>
        </w:rPr>
        <w:t>企业停产后部分闲置厂房租赁给</w:t>
      </w:r>
      <w:r>
        <w:rPr>
          <w:rFonts w:hint="eastAsia" w:ascii="Times New Roman" w:hAnsi="Times New Roman" w:eastAsia="宋体" w:cs="Times New Roman"/>
          <w:sz w:val="24"/>
          <w:szCs w:val="24"/>
          <w:highlight w:val="none"/>
          <w:lang w:eastAsia="zh-CN"/>
        </w:rPr>
        <w:t>嘉兴天时利纸业有限公司、海盐成顺机械有限公司、海盐汇达五金厂、海盐丰溢水洗厂、嘉兴圣环亚麻有限公司及嘉兴领尚展示用品有限责任公司</w:t>
      </w:r>
      <w:r>
        <w:rPr>
          <w:rFonts w:hint="eastAsia" w:ascii="Times New Roman" w:hAnsi="Times New Roman" w:cs="Times New Roman"/>
          <w:sz w:val="24"/>
          <w:szCs w:val="24"/>
          <w:highlight w:val="none"/>
        </w:rPr>
        <w:t>，现场踏勘期间</w:t>
      </w:r>
      <w:r>
        <w:rPr>
          <w:rFonts w:hint="eastAsia" w:ascii="Times New Roman" w:hAnsi="Times New Roman" w:eastAsia="宋体" w:cs="Times New Roman"/>
          <w:sz w:val="24"/>
          <w:szCs w:val="24"/>
          <w:highlight w:val="none"/>
          <w:lang w:val="en-US" w:eastAsia="zh-CN"/>
        </w:rPr>
        <w:t>六</w:t>
      </w:r>
      <w:r>
        <w:rPr>
          <w:rFonts w:hint="eastAsia" w:ascii="Times New Roman" w:hAnsi="Times New Roman" w:cs="Times New Roman"/>
          <w:sz w:val="24"/>
          <w:szCs w:val="24"/>
          <w:highlight w:val="none"/>
        </w:rPr>
        <w:t>家公司</w:t>
      </w:r>
      <w:r>
        <w:rPr>
          <w:rFonts w:hint="eastAsia" w:ascii="Times New Roman" w:hAnsi="Times New Roman" w:eastAsia="宋体" w:cs="Times New Roman"/>
          <w:sz w:val="24"/>
          <w:szCs w:val="24"/>
          <w:highlight w:val="none"/>
          <w:lang w:val="en-US" w:eastAsia="zh-CN"/>
        </w:rPr>
        <w:t>均已从厂内搬走</w:t>
      </w:r>
      <w:r>
        <w:rPr>
          <w:rFonts w:hint="eastAsia" w:ascii="Times New Roman" w:hAnsi="Times New Roman" w:cs="Times New Roman"/>
          <w:sz w:val="24"/>
          <w:szCs w:val="24"/>
          <w:highlight w:val="none"/>
        </w:rPr>
        <w:t>。</w:t>
      </w:r>
    </w:p>
    <w:p w14:paraId="299D03EA">
      <w:pPr>
        <w:pStyle w:val="2"/>
        <w:numPr>
          <w:ilvl w:val="0"/>
          <w:numId w:val="1"/>
        </w:numPr>
        <w:adjustRightInd w:val="0"/>
        <w:snapToGrid w:val="0"/>
        <w:ind w:firstLine="0" w:firstLineChars="0"/>
        <w:rPr>
          <w:rFonts w:hint="default" w:ascii="Times New Roman" w:hAnsi="Times New Roman" w:eastAsia="宋体" w:cs="Times New Roman"/>
          <w:b/>
          <w:bCs/>
          <w:sz w:val="28"/>
          <w:szCs w:val="28"/>
          <w:highlight w:val="none"/>
          <w:lang w:val="en-US"/>
        </w:rPr>
      </w:pPr>
      <w:r>
        <w:rPr>
          <w:rFonts w:hint="default" w:ascii="Times New Roman" w:hAnsi="Times New Roman" w:eastAsia="宋体" w:cs="Times New Roman"/>
          <w:b/>
          <w:bCs/>
          <w:sz w:val="28"/>
          <w:szCs w:val="28"/>
          <w:highlight w:val="none"/>
          <w:lang w:val="en-US"/>
        </w:rPr>
        <w:t>地块</w:t>
      </w:r>
      <w:r>
        <w:rPr>
          <w:rFonts w:hint="eastAsia" w:ascii="Times New Roman" w:hAnsi="Times New Roman" w:eastAsia="宋体" w:cs="Times New Roman"/>
          <w:b/>
          <w:bCs/>
          <w:sz w:val="28"/>
          <w:szCs w:val="28"/>
          <w:highlight w:val="none"/>
          <w:lang w:val="en-US" w:eastAsia="zh-CN"/>
        </w:rPr>
        <w:t>内及周边地块污染识别情况</w:t>
      </w:r>
    </w:p>
    <w:p w14:paraId="32C3B822">
      <w:pPr>
        <w:pStyle w:val="7"/>
        <w:keepNext w:val="0"/>
        <w:keepLines w:val="0"/>
        <w:pageBreakBefore w:val="0"/>
        <w:widowControl w:val="0"/>
        <w:kinsoku/>
        <w:wordWrap/>
        <w:overflowPunct/>
        <w:topLinePunct w:val="0"/>
        <w:autoSpaceDE/>
        <w:autoSpaceDN/>
        <w:bidi w:val="0"/>
        <w:adjustRightInd/>
        <w:snapToGrid/>
        <w:spacing w:line="360" w:lineRule="auto"/>
        <w:ind w:firstLine="480"/>
        <w:jc w:val="both"/>
        <w:textAlignment w:val="auto"/>
        <w:outlineLvl w:val="9"/>
        <w:rPr>
          <w:rFonts w:hint="eastAsia" w:ascii="Times New Roman" w:hAnsi="Times New Roman" w:eastAsia="宋体" w:cs="Times New Roman"/>
          <w:color w:val="auto"/>
          <w:sz w:val="24"/>
          <w:szCs w:val="24"/>
          <w:highlight w:val="none"/>
          <w:lang w:val="en-US" w:eastAsia="zh-CN"/>
        </w:rPr>
      </w:pPr>
      <w:r>
        <w:rPr>
          <w:rFonts w:hint="eastAsia" w:cs="Times New Roman"/>
          <w:color w:val="auto"/>
          <w:highlight w:val="none"/>
          <w:lang w:val="en-US" w:eastAsia="zh-CN"/>
        </w:rPr>
        <w:t>通过人员访谈了解到地块内的海盐漂染厂成立于1987年，于2019年停产，而后将车间租</w:t>
      </w:r>
      <w:r>
        <w:rPr>
          <w:rFonts w:hint="eastAsia" w:ascii="Times New Roman" w:hAnsi="Times New Roman" w:eastAsia="宋体" w:cs="Times New Roman"/>
          <w:color w:val="auto"/>
          <w:highlight w:val="none"/>
          <w:lang w:val="en-US" w:eastAsia="zh-CN"/>
        </w:rPr>
        <w:t>赁给嘉兴天时利纸业有限公司、海盐成顺机械有限公司、海盐汇达五金厂、海盐丰溢水洗厂、嘉兴圣环亚麻有限公司及嘉兴领尚展示用品有限责任公司。地块周边200m范围内历史上有海盐通惠铸造有限公司、锦萧新材料科技(浙江)股份有限公司、浙江小龙龙精密机械有限公司、翊天汽车智能科技（浙江）有限公司、加油站及贮存处。通过对上述企业的分析，确定主要考虑的特征污染物为</w:t>
      </w:r>
      <w:r>
        <w:rPr>
          <w:rFonts w:hint="eastAsia" w:cs="Times New Roman"/>
          <w:color w:val="auto"/>
          <w:sz w:val="24"/>
          <w:szCs w:val="24"/>
          <w:highlight w:val="none"/>
          <w:lang w:val="en-US" w:eastAsia="zh-CN"/>
        </w:rPr>
        <w:t>六价</w:t>
      </w:r>
      <w:r>
        <w:rPr>
          <w:rFonts w:hint="eastAsia" w:ascii="Times New Roman" w:hAnsi="Times New Roman" w:eastAsia="宋体" w:cs="Times New Roman"/>
          <w:color w:val="auto"/>
          <w:sz w:val="24"/>
          <w:szCs w:val="24"/>
          <w:highlight w:val="none"/>
          <w:lang w:val="en-US" w:eastAsia="zh-CN"/>
        </w:rPr>
        <w:t>铬、总铬、铜、锌、锑、铁、</w:t>
      </w:r>
      <w:r>
        <w:rPr>
          <w:rFonts w:hint="eastAsia" w:cs="Times New Roman"/>
          <w:color w:val="auto"/>
          <w:sz w:val="24"/>
          <w:szCs w:val="24"/>
          <w:highlight w:val="none"/>
          <w:lang w:val="en-US" w:eastAsia="zh-CN"/>
        </w:rPr>
        <w:t>铅、汞、镍、镉、砷</w:t>
      </w:r>
      <w:r>
        <w:rPr>
          <w:rFonts w:hint="eastAsia" w:ascii="Times New Roman" w:hAnsi="Times New Roman" w:eastAsia="宋体" w:cs="Times New Roman"/>
          <w:color w:val="auto"/>
          <w:sz w:val="24"/>
          <w:szCs w:val="24"/>
          <w:highlight w:val="none"/>
          <w:lang w:val="en-US" w:eastAsia="zh-CN"/>
        </w:rPr>
        <w:t>、</w:t>
      </w:r>
      <w:r>
        <w:rPr>
          <w:rFonts w:hint="default" w:ascii="Times New Roman" w:hAnsi="Times New Roman" w:eastAsia="宋体" w:cs="Times New Roman"/>
          <w:color w:val="auto"/>
          <w:sz w:val="24"/>
          <w:szCs w:val="24"/>
          <w:highlight w:val="none"/>
          <w:lang w:val="en-US" w:eastAsia="zh-CN"/>
        </w:rPr>
        <w:t>偶氮苯、五氯酚、四氯酚、三氯苯、4-氯苯胺、2-硝基苯胺、4-硝基苯胺</w:t>
      </w:r>
      <w:r>
        <w:rPr>
          <w:rFonts w:hint="eastAsia" w:ascii="Times New Roman" w:hAnsi="Times New Roman" w:eastAsia="宋体" w:cs="Times New Roman"/>
          <w:color w:val="auto"/>
          <w:sz w:val="24"/>
          <w:szCs w:val="24"/>
          <w:highlight w:val="none"/>
          <w:lang w:val="en-US" w:eastAsia="zh-CN"/>
        </w:rPr>
        <w:t>、苯胺、硝基苯、氟化物、苯并[a]芘</w:t>
      </w:r>
      <w:r>
        <w:rPr>
          <w:rFonts w:hint="eastAsia" w:cs="Times New Roman"/>
          <w:color w:val="auto"/>
          <w:sz w:val="24"/>
          <w:szCs w:val="24"/>
          <w:highlight w:val="none"/>
          <w:lang w:val="en-US" w:eastAsia="zh-CN"/>
        </w:rPr>
        <w:t>、</w:t>
      </w:r>
      <w:r>
        <w:rPr>
          <w:rFonts w:hint="eastAsia" w:ascii="Times New Roman" w:hAnsi="Times New Roman" w:eastAsia="宋体" w:cs="Times New Roman"/>
          <w:color w:val="auto"/>
          <w:sz w:val="24"/>
          <w:szCs w:val="24"/>
          <w:highlight w:val="none"/>
          <w:lang w:val="en-US" w:eastAsia="zh-CN"/>
        </w:rPr>
        <w:t>PH、苯酚、</w:t>
      </w:r>
      <w:r>
        <w:rPr>
          <w:rFonts w:hint="eastAsia" w:cs="Times New Roman"/>
          <w:color w:val="auto"/>
          <w:sz w:val="24"/>
          <w:szCs w:val="24"/>
          <w:highlight w:val="none"/>
          <w:lang w:val="en-US" w:eastAsia="zh-CN"/>
        </w:rPr>
        <w:t>石油烃（C10-C40）</w:t>
      </w:r>
      <w:r>
        <w:rPr>
          <w:rFonts w:hint="eastAsia" w:ascii="Times New Roman" w:hAnsi="Times New Roman" w:eastAsia="宋体" w:cs="Times New Roman"/>
          <w:color w:val="auto"/>
          <w:sz w:val="24"/>
          <w:szCs w:val="24"/>
          <w:highlight w:val="none"/>
          <w:lang w:val="en-US" w:eastAsia="zh-CN"/>
        </w:rPr>
        <w:t>、氨氮、COD、阴离子表面活性剂、可吸附有机卤素（AOX）。</w:t>
      </w:r>
    </w:p>
    <w:p w14:paraId="695C237E">
      <w:pPr>
        <w:pStyle w:val="2"/>
        <w:numPr>
          <w:ilvl w:val="0"/>
          <w:numId w:val="1"/>
        </w:numPr>
        <w:adjustRightInd w:val="0"/>
        <w:snapToGrid w:val="0"/>
        <w:ind w:firstLine="0" w:firstLineChars="0"/>
        <w:rPr>
          <w:rFonts w:hint="default" w:ascii="Times New Roman" w:hAnsi="Times New Roman" w:eastAsia="宋体" w:cs="Times New Roman"/>
          <w:b/>
          <w:bCs/>
          <w:sz w:val="28"/>
          <w:szCs w:val="28"/>
          <w:highlight w:val="none"/>
          <w:lang w:val="en-US"/>
        </w:rPr>
      </w:pPr>
      <w:r>
        <w:rPr>
          <w:rFonts w:hint="eastAsia" w:ascii="Times New Roman" w:hAnsi="Times New Roman" w:eastAsia="宋体" w:cs="Times New Roman"/>
          <w:b/>
          <w:bCs/>
          <w:sz w:val="28"/>
          <w:szCs w:val="28"/>
          <w:highlight w:val="none"/>
          <w:lang w:val="en-US" w:eastAsia="zh-CN"/>
        </w:rPr>
        <w:t>土壤及地下水采样监测工作</w:t>
      </w:r>
    </w:p>
    <w:p w14:paraId="0C696989">
      <w:pPr>
        <w:pStyle w:val="8"/>
        <w:adjustRightInd/>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本次调查在地块内布设了</w:t>
      </w:r>
      <w:r>
        <w:rPr>
          <w:rFonts w:hint="eastAsia" w:ascii="Times New Roman" w:hAnsi="Times New Roman" w:eastAsia="宋体" w:cs="Times New Roman"/>
          <w:color w:val="auto"/>
          <w:sz w:val="24"/>
          <w:szCs w:val="24"/>
          <w:highlight w:val="none"/>
          <w:lang w:val="en-US" w:eastAsia="zh-CN"/>
        </w:rPr>
        <w:t>11</w:t>
      </w:r>
      <w:r>
        <w:rPr>
          <w:rFonts w:hint="default" w:ascii="Times New Roman" w:hAnsi="Times New Roman" w:eastAsia="宋体" w:cs="Times New Roman"/>
          <w:color w:val="auto"/>
          <w:sz w:val="24"/>
          <w:szCs w:val="24"/>
          <w:highlight w:val="none"/>
          <w:lang w:val="en-US" w:eastAsia="zh-CN"/>
        </w:rPr>
        <w:t>个土壤采样点、</w:t>
      </w:r>
      <w:r>
        <w:rPr>
          <w:rFonts w:hint="eastAsia" w:ascii="Times New Roman" w:hAnsi="Times New Roman" w:eastAsia="宋体" w:cs="Times New Roman"/>
          <w:color w:val="auto"/>
          <w:sz w:val="24"/>
          <w:szCs w:val="24"/>
          <w:highlight w:val="none"/>
          <w:lang w:val="en-US" w:eastAsia="zh-CN"/>
        </w:rPr>
        <w:t>5</w:t>
      </w:r>
      <w:r>
        <w:rPr>
          <w:rFonts w:hint="default" w:ascii="Times New Roman" w:hAnsi="Times New Roman" w:eastAsia="宋体" w:cs="Times New Roman"/>
          <w:color w:val="auto"/>
          <w:sz w:val="24"/>
          <w:szCs w:val="24"/>
          <w:highlight w:val="none"/>
          <w:lang w:val="en-US" w:eastAsia="zh-CN"/>
        </w:rPr>
        <w:t>口地下水监测井，在地块外布设了1个土壤兼地下水对照点，送检</w:t>
      </w:r>
      <w:r>
        <w:rPr>
          <w:rFonts w:hint="eastAsia" w:ascii="Times New Roman" w:hAnsi="Times New Roman" w:eastAsia="宋体" w:cs="Times New Roman"/>
          <w:color w:val="auto"/>
          <w:sz w:val="24"/>
          <w:szCs w:val="24"/>
          <w:highlight w:val="none"/>
          <w:lang w:val="en-US" w:eastAsia="zh-CN"/>
        </w:rPr>
        <w:t>56</w:t>
      </w:r>
      <w:r>
        <w:rPr>
          <w:rFonts w:hint="default" w:ascii="Times New Roman" w:hAnsi="Times New Roman" w:eastAsia="宋体" w:cs="Times New Roman"/>
          <w:color w:val="auto"/>
          <w:sz w:val="24"/>
          <w:szCs w:val="24"/>
          <w:highlight w:val="none"/>
          <w:lang w:val="en-US" w:eastAsia="zh-CN"/>
        </w:rPr>
        <w:t>个土壤样品（含</w:t>
      </w:r>
      <w:r>
        <w:rPr>
          <w:rFonts w:hint="eastAsia" w:ascii="Times New Roman" w:hAnsi="Times New Roman" w:eastAsia="宋体" w:cs="Times New Roman"/>
          <w:color w:val="auto"/>
          <w:sz w:val="24"/>
          <w:szCs w:val="24"/>
          <w:highlight w:val="none"/>
          <w:lang w:val="en-US" w:eastAsia="zh-CN"/>
        </w:rPr>
        <w:t>6</w:t>
      </w:r>
      <w:r>
        <w:rPr>
          <w:rFonts w:hint="default" w:ascii="Times New Roman" w:hAnsi="Times New Roman" w:eastAsia="宋体" w:cs="Times New Roman"/>
          <w:color w:val="auto"/>
          <w:sz w:val="24"/>
          <w:szCs w:val="24"/>
          <w:highlight w:val="none"/>
          <w:lang w:val="en-US" w:eastAsia="zh-CN"/>
        </w:rPr>
        <w:t>个平行样品）、采集并送检</w:t>
      </w:r>
      <w:r>
        <w:rPr>
          <w:rFonts w:hint="eastAsia" w:ascii="Times New Roman" w:hAnsi="Times New Roman" w:eastAsia="宋体" w:cs="Times New Roman"/>
          <w:color w:val="auto"/>
          <w:sz w:val="24"/>
          <w:szCs w:val="24"/>
          <w:highlight w:val="none"/>
          <w:lang w:val="en-US" w:eastAsia="zh-CN"/>
        </w:rPr>
        <w:t>8</w:t>
      </w:r>
      <w:r>
        <w:rPr>
          <w:rFonts w:hint="default" w:ascii="Times New Roman" w:hAnsi="Times New Roman" w:eastAsia="宋体" w:cs="Times New Roman"/>
          <w:color w:val="auto"/>
          <w:sz w:val="24"/>
          <w:szCs w:val="24"/>
          <w:highlight w:val="none"/>
          <w:lang w:val="en-US" w:eastAsia="zh-CN"/>
        </w:rPr>
        <w:t>个地下水样品（含</w:t>
      </w:r>
      <w:r>
        <w:rPr>
          <w:rFonts w:hint="eastAsia" w:ascii="Times New Roman" w:hAnsi="Times New Roman" w:eastAsia="宋体" w:cs="Times New Roman"/>
          <w:color w:val="auto"/>
          <w:sz w:val="24"/>
          <w:szCs w:val="24"/>
          <w:highlight w:val="none"/>
          <w:lang w:val="en-US" w:eastAsia="zh-CN"/>
        </w:rPr>
        <w:t>2</w:t>
      </w:r>
      <w:r>
        <w:rPr>
          <w:rFonts w:hint="default" w:ascii="Times New Roman" w:hAnsi="Times New Roman" w:eastAsia="宋体" w:cs="Times New Roman"/>
          <w:color w:val="auto"/>
          <w:sz w:val="24"/>
          <w:szCs w:val="24"/>
          <w:highlight w:val="none"/>
          <w:lang w:val="en-US" w:eastAsia="zh-CN"/>
        </w:rPr>
        <w:t>个平行样）。</w:t>
      </w:r>
    </w:p>
    <w:p w14:paraId="49D8B380">
      <w:pPr>
        <w:pStyle w:val="7"/>
        <w:keepNext w:val="0"/>
        <w:keepLines w:val="0"/>
        <w:pageBreakBefore w:val="0"/>
        <w:widowControl w:val="0"/>
        <w:kinsoku/>
        <w:wordWrap/>
        <w:overflowPunct/>
        <w:topLinePunct w:val="0"/>
        <w:autoSpaceDE/>
        <w:autoSpaceDN/>
        <w:bidi w:val="0"/>
        <w:adjustRightInd/>
        <w:snapToGrid/>
        <w:spacing w:line="360" w:lineRule="auto"/>
        <w:ind w:firstLine="480"/>
        <w:jc w:val="both"/>
        <w:textAlignment w:val="auto"/>
        <w:outlineLvl w:val="9"/>
        <w:rPr>
          <w:rFonts w:hint="default" w:ascii="Times New Roman" w:hAnsi="Times New Roman" w:eastAsia="宋体" w:cs="Times New Roman"/>
          <w:color w:val="auto"/>
          <w:sz w:val="24"/>
          <w:szCs w:val="24"/>
          <w:highlight w:val="none"/>
          <w:lang w:val="en-US" w:eastAsia="zh-CN"/>
        </w:rPr>
      </w:pPr>
      <w:r>
        <w:rPr>
          <w:rFonts w:hint="eastAsia"/>
          <w:highlight w:val="none"/>
        </w:rPr>
        <w:t>本次检测的</w:t>
      </w:r>
      <w:r>
        <w:rPr>
          <w:rFonts w:hint="eastAsia"/>
          <w:highlight w:val="none"/>
          <w:lang w:val="en-US" w:eastAsia="zh-CN"/>
        </w:rPr>
        <w:t>土壤</w:t>
      </w:r>
      <w:r>
        <w:rPr>
          <w:rFonts w:hint="eastAsia"/>
          <w:highlight w:val="none"/>
        </w:rPr>
        <w:t>指标</w:t>
      </w:r>
      <w:r>
        <w:rPr>
          <w:rFonts w:hint="eastAsia"/>
          <w:highlight w:val="none"/>
          <w:lang w:val="en-US" w:eastAsia="zh-CN"/>
        </w:rPr>
        <w:t>有</w:t>
      </w:r>
      <w:r>
        <w:rPr>
          <w:rFonts w:hint="default" w:ascii="Times New Roman" w:hAnsi="Times New Roman" w:eastAsia="宋体" w:cs="Times New Roman"/>
          <w:sz w:val="24"/>
          <w:szCs w:val="24"/>
          <w:highlight w:val="none"/>
          <w:lang w:eastAsia="zh-CN"/>
        </w:rPr>
        <w:t>pH值、</w:t>
      </w:r>
      <w:r>
        <w:rPr>
          <w:rFonts w:hint="eastAsia" w:ascii="Times New Roman" w:hAnsi="Times New Roman" w:eastAsia="宋体" w:cs="Times New Roman"/>
          <w:sz w:val="24"/>
          <w:szCs w:val="24"/>
          <w:highlight w:val="none"/>
          <w:lang w:val="en-US" w:eastAsia="zh-CN"/>
        </w:rPr>
        <w:t>11</w:t>
      </w:r>
      <w:r>
        <w:rPr>
          <w:rFonts w:hint="default" w:ascii="Times New Roman" w:hAnsi="Times New Roman" w:eastAsia="宋体" w:cs="Times New Roman"/>
          <w:sz w:val="24"/>
          <w:szCs w:val="24"/>
          <w:highlight w:val="none"/>
          <w:lang w:eastAsia="zh-CN"/>
        </w:rPr>
        <w:t>种重金属、</w:t>
      </w:r>
      <w:r>
        <w:rPr>
          <w:rFonts w:hint="default" w:ascii="Times New Roman" w:hAnsi="Times New Roman" w:eastAsia="宋体" w:cs="Times New Roman"/>
          <w:sz w:val="24"/>
          <w:szCs w:val="24"/>
          <w:highlight w:val="none"/>
          <w:lang w:val="en-US" w:eastAsia="zh-CN"/>
        </w:rPr>
        <w:t>石油烃、</w:t>
      </w:r>
      <w:r>
        <w:rPr>
          <w:rFonts w:hint="eastAsia" w:ascii="Times New Roman" w:hAnsi="Times New Roman" w:eastAsia="宋体" w:cs="Times New Roman"/>
          <w:sz w:val="24"/>
          <w:szCs w:val="24"/>
          <w:highlight w:val="none"/>
          <w:lang w:val="en-US" w:eastAsia="zh-CN"/>
        </w:rPr>
        <w:t>氟化物、</w:t>
      </w:r>
      <w:r>
        <w:rPr>
          <w:rFonts w:hint="default" w:ascii="Times New Roman" w:hAnsi="Times New Roman" w:eastAsia="宋体" w:cs="Times New Roman"/>
          <w:sz w:val="24"/>
          <w:szCs w:val="24"/>
          <w:highlight w:val="none"/>
          <w:lang w:eastAsia="zh-CN"/>
        </w:rPr>
        <w:t>27种挥发性有机物、11种半挥发性有机物</w:t>
      </w:r>
      <w:r>
        <w:rPr>
          <w:rFonts w:hint="eastAsia" w:ascii="Times New Roman" w:hAnsi="Times New Roman" w:eastAsia="宋体" w:cs="Times New Roman"/>
          <w:sz w:val="24"/>
          <w:szCs w:val="24"/>
          <w:highlight w:val="none"/>
          <w:lang w:eastAsia="zh-CN"/>
        </w:rPr>
        <w:t>、</w:t>
      </w:r>
      <w:r>
        <w:rPr>
          <w:rFonts w:hint="eastAsia" w:ascii="Times New Roman" w:hAnsi="Times New Roman" w:eastAsia="宋体" w:cs="Times New Roman"/>
          <w:sz w:val="24"/>
          <w:szCs w:val="24"/>
          <w:highlight w:val="none"/>
          <w:lang w:val="en-US" w:eastAsia="zh-CN" w:bidi="ar-SA"/>
        </w:rPr>
        <w:t>五氯酚、2,3,4,6-四氯酚、1,2,3-三氯苯、1,2,4-三氯苯、4-氯苯胺、2-硝基苯胺、4-硝基苯胺、偶氮苯</w:t>
      </w:r>
      <w:r>
        <w:rPr>
          <w:rFonts w:hint="default" w:ascii="Times New Roman" w:hAnsi="Times New Roman" w:eastAsia="宋体" w:cs="Times New Roman"/>
          <w:sz w:val="24"/>
          <w:szCs w:val="24"/>
          <w:highlight w:val="none"/>
          <w:lang w:eastAsia="zh-CN"/>
        </w:rPr>
        <w:t>；</w:t>
      </w:r>
      <w:r>
        <w:rPr>
          <w:rFonts w:hint="eastAsia"/>
          <w:highlight w:val="none"/>
        </w:rPr>
        <w:t>本次检测的</w:t>
      </w:r>
      <w:r>
        <w:rPr>
          <w:rFonts w:hint="eastAsia"/>
          <w:highlight w:val="none"/>
          <w:lang w:val="en-US" w:eastAsia="zh-CN"/>
        </w:rPr>
        <w:t>地下水</w:t>
      </w:r>
      <w:r>
        <w:rPr>
          <w:rFonts w:hint="eastAsia"/>
          <w:highlight w:val="none"/>
        </w:rPr>
        <w:t>指标</w:t>
      </w:r>
      <w:r>
        <w:rPr>
          <w:rFonts w:hint="eastAsia"/>
          <w:highlight w:val="none"/>
          <w:lang w:val="en-US" w:eastAsia="zh-CN"/>
        </w:rPr>
        <w:t>有</w:t>
      </w:r>
      <w:r>
        <w:rPr>
          <w:rFonts w:hint="default" w:ascii="Times New Roman" w:hAnsi="Times New Roman" w:eastAsia="宋体" w:cs="Times New Roman"/>
          <w:sz w:val="24"/>
          <w:szCs w:val="24"/>
          <w:highlight w:val="none"/>
        </w:rPr>
        <w:t>GB/T14848-2017常规监测项目3</w:t>
      </w:r>
      <w:r>
        <w:rPr>
          <w:rFonts w:hint="default" w:ascii="Times New Roman" w:hAnsi="Times New Roman" w:eastAsia="宋体" w:cs="Times New Roman"/>
          <w:sz w:val="24"/>
          <w:szCs w:val="24"/>
          <w:highlight w:val="none"/>
          <w:lang w:val="en-US" w:eastAsia="zh-CN"/>
        </w:rPr>
        <w:t>5</w:t>
      </w:r>
      <w:r>
        <w:rPr>
          <w:rFonts w:hint="default" w:ascii="Times New Roman" w:hAnsi="Times New Roman" w:eastAsia="宋体" w:cs="Times New Roman"/>
          <w:sz w:val="24"/>
          <w:szCs w:val="24"/>
          <w:highlight w:val="none"/>
        </w:rPr>
        <w:t>项</w:t>
      </w:r>
      <w:r>
        <w:rPr>
          <w:rFonts w:hint="default" w:ascii="Times New Roman" w:hAnsi="Times New Roman" w:eastAsia="宋体" w:cs="Times New Roman"/>
          <w:sz w:val="24"/>
          <w:szCs w:val="24"/>
          <w:highlight w:val="none"/>
          <w:lang w:eastAsia="zh-CN"/>
        </w:rPr>
        <w:t>、</w:t>
      </w:r>
      <w:r>
        <w:rPr>
          <w:rFonts w:hint="default" w:ascii="Times New Roman" w:hAnsi="Times New Roman" w:eastAsia="宋体" w:cs="Times New Roman"/>
          <w:sz w:val="24"/>
          <w:szCs w:val="24"/>
          <w:highlight w:val="none"/>
        </w:rPr>
        <w:t>27种挥发性有机物、11种半挥发性有机物</w:t>
      </w:r>
      <w:r>
        <w:rPr>
          <w:rFonts w:hint="default" w:ascii="Times New Roman" w:hAnsi="Times New Roman" w:eastAsia="宋体" w:cs="Times New Roman"/>
          <w:sz w:val="24"/>
          <w:szCs w:val="24"/>
          <w:highlight w:val="none"/>
          <w:lang w:eastAsia="zh-CN"/>
        </w:rPr>
        <w:t>、</w:t>
      </w:r>
      <w:r>
        <w:rPr>
          <w:rFonts w:hint="default" w:ascii="Times New Roman" w:hAnsi="Times New Roman" w:eastAsia="宋体" w:cs="Times New Roman"/>
          <w:sz w:val="24"/>
          <w:szCs w:val="24"/>
          <w:highlight w:val="none"/>
          <w:lang w:val="en-US" w:eastAsia="zh-CN" w:bidi="ar-SA"/>
        </w:rPr>
        <w:t>石油烃</w:t>
      </w:r>
      <w:r>
        <w:rPr>
          <w:rFonts w:hint="eastAsia" w:ascii="Times New Roman" w:hAnsi="Times New Roman" w:eastAsia="宋体" w:cs="Times New Roman"/>
          <w:sz w:val="24"/>
          <w:szCs w:val="24"/>
          <w:highlight w:val="none"/>
          <w:lang w:val="en-US" w:eastAsia="zh-CN" w:bidi="ar-SA"/>
        </w:rPr>
        <w:t>、总铬、总磷、钴、锑、可吸附有机卤素（AOX）、五氯酚、2,3,4,6-四氯酚、1,2,3-三氯苯、1,2,4-三氯苯、4-氯苯胺、2-硝基苯胺、4-硝基苯胺。</w:t>
      </w:r>
    </w:p>
    <w:p w14:paraId="1708E7D7">
      <w:pPr>
        <w:pStyle w:val="2"/>
        <w:numPr>
          <w:ilvl w:val="0"/>
          <w:numId w:val="1"/>
        </w:numPr>
        <w:adjustRightInd w:val="0"/>
        <w:snapToGrid w:val="0"/>
        <w:ind w:firstLine="0" w:firstLineChars="0"/>
        <w:rPr>
          <w:rFonts w:hint="default" w:ascii="Times New Roman" w:hAnsi="Times New Roman" w:eastAsia="宋体" w:cs="Times New Roman"/>
          <w:b/>
          <w:bCs/>
          <w:sz w:val="28"/>
          <w:szCs w:val="28"/>
          <w:highlight w:val="none"/>
          <w:lang w:val="en-US"/>
        </w:rPr>
      </w:pPr>
      <w:r>
        <w:rPr>
          <w:rFonts w:hint="eastAsia" w:ascii="Times New Roman" w:hAnsi="Times New Roman" w:eastAsia="宋体" w:cs="Times New Roman"/>
          <w:b/>
          <w:bCs/>
          <w:sz w:val="28"/>
          <w:szCs w:val="28"/>
          <w:highlight w:val="none"/>
          <w:lang w:val="en-US" w:eastAsia="zh-CN"/>
        </w:rPr>
        <w:t>评价标准</w:t>
      </w:r>
    </w:p>
    <w:p w14:paraId="280DE525">
      <w:pPr>
        <w:keepNext w:val="0"/>
        <w:keepLines w:val="0"/>
        <w:pageBreakBefore w:val="0"/>
        <w:widowControl/>
        <w:kinsoku/>
        <w:wordWrap/>
        <w:overflowPunct/>
        <w:topLinePunct w:val="0"/>
        <w:autoSpaceDE w:val="0"/>
        <w:autoSpaceDN w:val="0"/>
        <w:bidi w:val="0"/>
        <w:adjustRightInd w:val="0"/>
        <w:snapToGrid/>
        <w:spacing w:line="360" w:lineRule="auto"/>
        <w:ind w:firstLine="480" w:firstLineChars="200"/>
        <w:jc w:val="both"/>
        <w:textAlignment w:val="auto"/>
        <w:rPr>
          <w:rFonts w:hint="default" w:ascii="Times New Roman" w:hAnsi="Times New Roman" w:eastAsia="宋体" w:cs="Times New Roman"/>
          <w:snapToGrid w:val="0"/>
          <w:color w:val="auto"/>
          <w:highlight w:val="none"/>
          <w:lang w:val="en-US" w:eastAsia="zh-CN"/>
        </w:rPr>
      </w:pPr>
      <w:r>
        <w:rPr>
          <w:rFonts w:hint="default" w:ascii="Times New Roman" w:hAnsi="Times New Roman" w:eastAsia="宋体" w:cs="Times New Roman"/>
          <w:snapToGrid w:val="0"/>
          <w:color w:val="auto"/>
          <w:highlight w:val="none"/>
          <w:lang w:val="en-US" w:eastAsia="zh-CN"/>
        </w:rPr>
        <w:t>根据本地块规划为工业用地，不属于敏感用地，因此本地块参照《土壤环境质量 建设用地土壤污染风险管控标准（试行）》（GB36600-2018）“第二类用地”的风险筛选值、《建设用地土壤污染风险评估技术导则》DB33/T 892-2022中非敏感用地筛选值、《建设用地土壤污染风险筛选值》（DB 13/T 5216—2020）第二类用地筛选值，优先选择低筛选值进行对标分析，据分析两标准常规项目筛选值一致。</w:t>
      </w:r>
    </w:p>
    <w:p w14:paraId="24042E55">
      <w:pPr>
        <w:keepNext w:val="0"/>
        <w:keepLines w:val="0"/>
        <w:pageBreakBefore w:val="0"/>
        <w:widowControl/>
        <w:kinsoku/>
        <w:wordWrap/>
        <w:overflowPunct/>
        <w:topLinePunct w:val="0"/>
        <w:autoSpaceDE w:val="0"/>
        <w:autoSpaceDN w:val="0"/>
        <w:bidi w:val="0"/>
        <w:adjustRightInd w:val="0"/>
        <w:snapToGrid/>
        <w:spacing w:line="360" w:lineRule="auto"/>
        <w:ind w:firstLine="480" w:firstLineChars="200"/>
        <w:jc w:val="both"/>
        <w:textAlignment w:val="auto"/>
        <w:rPr>
          <w:rFonts w:hint="default" w:ascii="Times New Roman" w:hAnsi="Times New Roman" w:eastAsia="宋体" w:cs="Times New Roman"/>
          <w:snapToGrid w:val="0"/>
          <w:color w:val="auto"/>
          <w:highlight w:val="none"/>
          <w:lang w:val="en-US" w:eastAsia="zh-CN"/>
        </w:rPr>
      </w:pPr>
      <w:r>
        <w:rPr>
          <w:rFonts w:hint="default" w:ascii="Times New Roman" w:hAnsi="Times New Roman" w:eastAsia="宋体" w:cs="Times New Roman"/>
          <w:snapToGrid w:val="0"/>
          <w:color w:val="auto"/>
          <w:highlight w:val="none"/>
          <w:lang w:val="en-US" w:eastAsia="zh-CN"/>
        </w:rPr>
        <w:t>地下水环境质量标准参照执行《地下水质量标准》（GB/T14848-2017）中的Ⅳ类标准，对于该标准未制定的因子，优先</w:t>
      </w:r>
      <w:r>
        <w:rPr>
          <w:rFonts w:hint="eastAsia" w:ascii="Times New Roman" w:hAnsi="Times New Roman" w:eastAsia="宋体" w:cs="Times New Roman"/>
          <w:snapToGrid w:val="0"/>
          <w:color w:val="auto"/>
          <w:highlight w:val="none"/>
          <w:lang w:val="en-US" w:eastAsia="zh-CN"/>
        </w:rPr>
        <w:t>参照</w:t>
      </w:r>
      <w:r>
        <w:rPr>
          <w:rFonts w:hint="default" w:ascii="Times New Roman" w:hAnsi="Times New Roman" w:eastAsia="宋体" w:cs="Times New Roman"/>
          <w:snapToGrid w:val="0"/>
          <w:color w:val="auto"/>
          <w:highlight w:val="none"/>
          <w:lang w:val="en-US" w:eastAsia="zh-CN"/>
        </w:rPr>
        <w:t>《上海市建设用地土壤污染状况调查、风险评估、风险管控与修复方案编制、风险管控与修复效果评估工作的补充规定（试行）》（沪环土[2020]62号）附件5上海市建设用地地下水污染风险管控筛选值补充指标的第二类用地筛选值</w:t>
      </w:r>
      <w:r>
        <w:rPr>
          <w:rFonts w:hint="eastAsia" w:ascii="Times New Roman" w:hAnsi="Times New Roman" w:eastAsia="宋体" w:cs="Times New Roman"/>
          <w:snapToGrid w:val="0"/>
          <w:color w:val="auto"/>
          <w:highlight w:val="none"/>
          <w:lang w:val="en-US" w:eastAsia="zh-CN"/>
        </w:rPr>
        <w:t>、</w:t>
      </w:r>
      <w:r>
        <w:rPr>
          <w:rFonts w:hint="default" w:ascii="Times New Roman" w:hAnsi="Times New Roman" w:eastAsia="宋体" w:cs="Times New Roman"/>
          <w:snapToGrid w:val="0"/>
          <w:color w:val="auto"/>
          <w:highlight w:val="none"/>
          <w:lang w:val="en-US" w:eastAsia="zh-CN"/>
        </w:rPr>
        <w:t>《地表水环境质量标准》（</w:t>
      </w:r>
      <w:r>
        <w:rPr>
          <w:rFonts w:hint="eastAsia" w:ascii="Times New Roman" w:hAnsi="Times New Roman" w:eastAsia="宋体" w:cs="Times New Roman"/>
          <w:snapToGrid w:val="0"/>
          <w:color w:val="auto"/>
          <w:highlight w:val="none"/>
          <w:lang w:val="en-US" w:eastAsia="zh-CN"/>
        </w:rPr>
        <w:t>GB</w:t>
      </w:r>
      <w:r>
        <w:rPr>
          <w:rFonts w:hint="default" w:ascii="Times New Roman" w:hAnsi="Times New Roman" w:eastAsia="宋体" w:cs="Times New Roman"/>
          <w:snapToGrid w:val="0"/>
          <w:color w:val="auto"/>
          <w:highlight w:val="none"/>
          <w:lang w:val="en-US" w:eastAsia="zh-CN"/>
        </w:rPr>
        <w:t>3838-2002）Ⅳ类标准</w:t>
      </w:r>
      <w:r>
        <w:rPr>
          <w:rFonts w:hint="eastAsia" w:ascii="Times New Roman" w:hAnsi="Times New Roman" w:eastAsia="宋体" w:cs="Times New Roman"/>
          <w:snapToGrid w:val="0"/>
          <w:color w:val="auto"/>
          <w:highlight w:val="none"/>
          <w:lang w:val="en-US" w:eastAsia="zh-CN"/>
        </w:rPr>
        <w:t>、《污水综合排放标准》GB8978-1996二级标准，</w:t>
      </w:r>
      <w:r>
        <w:rPr>
          <w:rFonts w:hint="default" w:ascii="Times New Roman" w:hAnsi="Times New Roman" w:eastAsia="宋体" w:cs="Times New Roman"/>
          <w:snapToGrid w:val="0"/>
          <w:color w:val="auto"/>
          <w:highlight w:val="none"/>
          <w:lang w:val="en-US" w:eastAsia="zh-CN"/>
        </w:rPr>
        <w:t>对于国内未制定标准的检测因子，参考</w:t>
      </w:r>
      <w:r>
        <w:rPr>
          <w:rFonts w:hint="default" w:ascii="Times New Roman" w:hAnsi="Times New Roman" w:eastAsia="宋体" w:cs="Times New Roman"/>
          <w:sz w:val="24"/>
          <w:szCs w:val="24"/>
          <w:highlight w:val="none"/>
        </w:rPr>
        <w:t>《美国环保署区域环境质量筛选值（RSLs）》（202</w:t>
      </w:r>
      <w:r>
        <w:rPr>
          <w:rFonts w:hint="eastAsia" w:ascii="Times New Roman" w:hAnsi="Times New Roman" w:eastAsia="宋体" w:cs="Times New Roman"/>
          <w:sz w:val="24"/>
          <w:szCs w:val="24"/>
          <w:highlight w:val="none"/>
          <w:lang w:val="en-US" w:eastAsia="zh-CN"/>
        </w:rPr>
        <w:t>4</w:t>
      </w:r>
      <w:r>
        <w:rPr>
          <w:rFonts w:hint="default" w:ascii="Times New Roman" w:hAnsi="Times New Roman" w:eastAsia="宋体" w:cs="Times New Roman"/>
          <w:sz w:val="24"/>
          <w:szCs w:val="24"/>
          <w:highlight w:val="none"/>
        </w:rPr>
        <w:t>.</w:t>
      </w:r>
      <w:r>
        <w:rPr>
          <w:rFonts w:hint="eastAsia" w:ascii="Times New Roman" w:hAnsi="Times New Roman" w:eastAsia="宋体" w:cs="Times New Roman"/>
          <w:sz w:val="24"/>
          <w:szCs w:val="24"/>
          <w:highlight w:val="none"/>
          <w:lang w:val="en-US" w:eastAsia="zh-CN"/>
        </w:rPr>
        <w:t>11</w:t>
      </w:r>
      <w:r>
        <w:rPr>
          <w:rFonts w:hint="default" w:ascii="Times New Roman" w:hAnsi="Times New Roman" w:eastAsia="宋体" w:cs="Times New Roman"/>
          <w:sz w:val="24"/>
          <w:szCs w:val="24"/>
          <w:highlight w:val="none"/>
        </w:rPr>
        <w:t>）</w:t>
      </w:r>
      <w:r>
        <w:rPr>
          <w:rFonts w:hint="default" w:ascii="Times New Roman" w:hAnsi="Times New Roman" w:eastAsia="宋体" w:cs="Times New Roman"/>
          <w:snapToGrid w:val="0"/>
          <w:color w:val="auto"/>
          <w:highlight w:val="none"/>
          <w:lang w:val="en-US" w:eastAsia="zh-CN"/>
        </w:rPr>
        <w:t>。</w:t>
      </w:r>
    </w:p>
    <w:p w14:paraId="6825156E">
      <w:pPr>
        <w:pStyle w:val="2"/>
        <w:numPr>
          <w:ilvl w:val="0"/>
          <w:numId w:val="1"/>
        </w:numPr>
        <w:adjustRightInd w:val="0"/>
        <w:snapToGrid w:val="0"/>
        <w:ind w:firstLine="0" w:firstLineChars="0"/>
        <w:rPr>
          <w:rFonts w:hint="default" w:ascii="Times New Roman" w:hAnsi="Times New Roman" w:eastAsia="宋体" w:cs="Times New Roman"/>
          <w:b/>
          <w:bCs/>
          <w:sz w:val="28"/>
          <w:szCs w:val="28"/>
          <w:highlight w:val="none"/>
          <w:lang w:val="en-US"/>
        </w:rPr>
      </w:pPr>
      <w:r>
        <w:rPr>
          <w:rFonts w:hint="eastAsia" w:ascii="Times New Roman" w:hAnsi="Times New Roman" w:eastAsia="宋体" w:cs="Times New Roman"/>
          <w:b/>
          <w:bCs/>
          <w:sz w:val="28"/>
          <w:szCs w:val="28"/>
          <w:highlight w:val="none"/>
          <w:lang w:val="en-US" w:eastAsia="zh-CN"/>
        </w:rPr>
        <w:t>结论</w:t>
      </w:r>
    </w:p>
    <w:p w14:paraId="63119010">
      <w:pPr>
        <w:adjustRightInd/>
        <w:spacing w:line="360" w:lineRule="auto"/>
        <w:ind w:firstLine="480" w:firstLineChars="200"/>
        <w:jc w:val="both"/>
        <w:rPr>
          <w:rFonts w:hint="default" w:ascii="Times New Roman" w:hAnsi="Times New Roman" w:eastAsia="宋体" w:cs="Times New Roman"/>
          <w:sz w:val="24"/>
          <w:szCs w:val="24"/>
          <w:highlight w:val="none"/>
          <w:lang w:eastAsia="zh-CN"/>
        </w:rPr>
      </w:pPr>
      <w:r>
        <w:rPr>
          <w:rFonts w:hint="default" w:ascii="Times New Roman" w:hAnsi="Times New Roman" w:eastAsia="宋体" w:cs="Times New Roman"/>
          <w:sz w:val="24"/>
          <w:szCs w:val="24"/>
          <w:highlight w:val="none"/>
          <w:lang w:eastAsia="zh-CN"/>
        </w:rPr>
        <w:t>本次调查地块内土壤中检测了pH值、</w:t>
      </w:r>
      <w:r>
        <w:rPr>
          <w:rFonts w:hint="eastAsia" w:ascii="Times New Roman" w:hAnsi="Times New Roman" w:eastAsia="宋体" w:cs="Times New Roman"/>
          <w:sz w:val="24"/>
          <w:szCs w:val="24"/>
          <w:highlight w:val="none"/>
          <w:lang w:val="en-US" w:eastAsia="zh-CN"/>
        </w:rPr>
        <w:t>11</w:t>
      </w:r>
      <w:r>
        <w:rPr>
          <w:rFonts w:hint="default" w:ascii="Times New Roman" w:hAnsi="Times New Roman" w:eastAsia="宋体" w:cs="Times New Roman"/>
          <w:sz w:val="24"/>
          <w:szCs w:val="24"/>
          <w:highlight w:val="none"/>
          <w:lang w:eastAsia="zh-CN"/>
        </w:rPr>
        <w:t>种重金属、</w:t>
      </w:r>
      <w:r>
        <w:rPr>
          <w:rFonts w:hint="default" w:ascii="Times New Roman" w:hAnsi="Times New Roman" w:eastAsia="宋体" w:cs="Times New Roman"/>
          <w:sz w:val="24"/>
          <w:szCs w:val="24"/>
          <w:highlight w:val="none"/>
          <w:lang w:val="en-US" w:eastAsia="zh-CN"/>
        </w:rPr>
        <w:t>石油烃、</w:t>
      </w:r>
      <w:r>
        <w:rPr>
          <w:rFonts w:hint="eastAsia" w:ascii="Times New Roman" w:hAnsi="Times New Roman" w:eastAsia="宋体" w:cs="Times New Roman"/>
          <w:sz w:val="24"/>
          <w:szCs w:val="24"/>
          <w:highlight w:val="none"/>
          <w:lang w:val="en-US" w:eastAsia="zh-CN"/>
        </w:rPr>
        <w:t>氟化物、</w:t>
      </w:r>
      <w:r>
        <w:rPr>
          <w:rFonts w:hint="default" w:ascii="Times New Roman" w:hAnsi="Times New Roman" w:eastAsia="宋体" w:cs="Times New Roman"/>
          <w:sz w:val="24"/>
          <w:szCs w:val="24"/>
          <w:highlight w:val="none"/>
          <w:lang w:eastAsia="zh-CN"/>
        </w:rPr>
        <w:t>27种挥发性有机物、11种半挥发性有机物</w:t>
      </w:r>
      <w:r>
        <w:rPr>
          <w:rFonts w:hint="eastAsia" w:ascii="Times New Roman" w:hAnsi="Times New Roman" w:eastAsia="宋体" w:cs="Times New Roman"/>
          <w:sz w:val="24"/>
          <w:szCs w:val="24"/>
          <w:highlight w:val="none"/>
          <w:lang w:eastAsia="zh-CN"/>
        </w:rPr>
        <w:t>、</w:t>
      </w:r>
      <w:r>
        <w:rPr>
          <w:rFonts w:hint="eastAsia" w:ascii="Times New Roman" w:hAnsi="Times New Roman" w:eastAsia="宋体" w:cs="Times New Roman"/>
          <w:sz w:val="24"/>
          <w:szCs w:val="24"/>
          <w:highlight w:val="none"/>
          <w:lang w:val="en-US" w:eastAsia="zh-CN" w:bidi="ar-SA"/>
        </w:rPr>
        <w:t>五氯酚、2,3,4,6-四氯酚、1,2,3-三氯苯、1,2,4-三氯苯、4-氯苯胺、2-硝基苯胺、4-硝基苯胺、偶氮苯</w:t>
      </w:r>
      <w:r>
        <w:rPr>
          <w:rFonts w:hint="default" w:ascii="Times New Roman" w:hAnsi="Times New Roman" w:eastAsia="宋体" w:cs="Times New Roman"/>
          <w:sz w:val="24"/>
          <w:szCs w:val="24"/>
          <w:highlight w:val="none"/>
          <w:lang w:eastAsia="zh-CN"/>
        </w:rPr>
        <w:t>；所有指标检出浓度均低于《土壤环境质量 建设用地土壤污染风险管控标准（试行）》（GB36600</w:t>
      </w:r>
      <w:r>
        <w:rPr>
          <w:rFonts w:hint="default" w:ascii="Times New Roman" w:hAnsi="Times New Roman" w:eastAsia="宋体" w:cs="Times New Roman"/>
          <w:bCs/>
          <w:sz w:val="24"/>
          <w:szCs w:val="24"/>
          <w:highlight w:val="none"/>
          <w:lang w:val="en-US" w:eastAsia="zh-CN"/>
        </w:rPr>
        <w:t>-</w:t>
      </w:r>
      <w:r>
        <w:rPr>
          <w:rFonts w:hint="default" w:ascii="Times New Roman" w:hAnsi="Times New Roman" w:eastAsia="宋体" w:cs="Times New Roman"/>
          <w:sz w:val="24"/>
          <w:szCs w:val="24"/>
          <w:highlight w:val="none"/>
          <w:lang w:eastAsia="zh-CN"/>
        </w:rPr>
        <w:t>2018）</w:t>
      </w:r>
      <w:r>
        <w:rPr>
          <w:rFonts w:hint="eastAsia" w:ascii="Times New Roman" w:hAnsi="Times New Roman" w:eastAsia="宋体" w:cs="Times New Roman"/>
          <w:sz w:val="24"/>
          <w:szCs w:val="24"/>
          <w:highlight w:val="none"/>
          <w:lang w:val="en-US" w:eastAsia="zh-CN"/>
        </w:rPr>
        <w:t>二</w:t>
      </w:r>
      <w:r>
        <w:rPr>
          <w:rFonts w:hint="default" w:ascii="Times New Roman" w:hAnsi="Times New Roman" w:eastAsia="宋体" w:cs="Times New Roman"/>
          <w:sz w:val="24"/>
          <w:szCs w:val="24"/>
          <w:highlight w:val="none"/>
          <w:lang w:eastAsia="zh-CN"/>
        </w:rPr>
        <w:t>类用地的筛选值</w:t>
      </w:r>
      <w:r>
        <w:rPr>
          <w:rFonts w:hint="eastAsia" w:ascii="Times New Roman" w:hAnsi="Times New Roman" w:eastAsia="宋体" w:cs="Times New Roman"/>
          <w:sz w:val="24"/>
          <w:szCs w:val="24"/>
          <w:highlight w:val="none"/>
          <w:lang w:eastAsia="zh-CN"/>
        </w:rPr>
        <w:t>、</w:t>
      </w:r>
      <w:r>
        <w:rPr>
          <w:rFonts w:hint="default" w:ascii="Times New Roman" w:hAnsi="Times New Roman" w:eastAsia="宋体" w:cs="Times New Roman"/>
          <w:sz w:val="24"/>
          <w:szCs w:val="24"/>
          <w:highlight w:val="none"/>
          <w:lang w:val="en-US" w:eastAsia="zh-CN"/>
        </w:rPr>
        <w:t>《建设用地土壤污染风险评估技术导则》DB33/T892-2022中非敏感用地筛选值</w:t>
      </w:r>
      <w:r>
        <w:rPr>
          <w:rFonts w:hint="eastAsia" w:ascii="Times New Roman" w:hAnsi="Times New Roman" w:eastAsia="宋体" w:cs="Times New Roman"/>
          <w:sz w:val="24"/>
          <w:szCs w:val="24"/>
          <w:highlight w:val="none"/>
          <w:lang w:val="en-US" w:eastAsia="zh-CN"/>
        </w:rPr>
        <w:t>、河北省《建设用地土壤污染风险筛选值》（DB 13/T 5216—2020）第二类用地筛选值</w:t>
      </w:r>
      <w:r>
        <w:rPr>
          <w:rFonts w:hint="default" w:ascii="Times New Roman" w:hAnsi="Times New Roman" w:eastAsia="宋体" w:cs="Times New Roman"/>
          <w:sz w:val="24"/>
          <w:szCs w:val="24"/>
          <w:highlight w:val="none"/>
          <w:lang w:val="en-US" w:eastAsia="zh-CN"/>
        </w:rPr>
        <w:t>。</w:t>
      </w:r>
    </w:p>
    <w:p w14:paraId="0419B5DC">
      <w:pPr>
        <w:pStyle w:val="4"/>
        <w:widowControl w:val="0"/>
        <w:adjustRightInd/>
        <w:spacing w:beforeAutospacing="0" w:afterAutospacing="0" w:line="360" w:lineRule="auto"/>
        <w:ind w:firstLine="480" w:firstLineChars="200"/>
        <w:jc w:val="both"/>
        <w:rPr>
          <w:rFonts w:hint="default" w:ascii="Times New Roman" w:hAnsi="Times New Roman" w:eastAsia="宋体" w:cs="Times New Roman"/>
          <w:sz w:val="24"/>
          <w:szCs w:val="24"/>
          <w:highlight w:val="none"/>
          <w:lang w:val="en-US" w:eastAsia="zh-CN"/>
        </w:rPr>
      </w:pPr>
      <w:r>
        <w:rPr>
          <w:rFonts w:hint="default" w:ascii="Times New Roman" w:hAnsi="Times New Roman" w:eastAsia="宋体" w:cs="Times New Roman"/>
          <w:sz w:val="24"/>
          <w:szCs w:val="24"/>
          <w:highlight w:val="none"/>
        </w:rPr>
        <w:t>本次调查</w:t>
      </w:r>
      <w:r>
        <w:rPr>
          <w:rFonts w:hint="default" w:ascii="Times New Roman" w:hAnsi="Times New Roman" w:eastAsia="宋体" w:cs="Times New Roman"/>
          <w:sz w:val="24"/>
          <w:szCs w:val="24"/>
          <w:highlight w:val="none"/>
          <w:lang w:eastAsia="zh-CN"/>
        </w:rPr>
        <w:t>地块</w:t>
      </w:r>
      <w:r>
        <w:rPr>
          <w:rFonts w:hint="default" w:ascii="Times New Roman" w:hAnsi="Times New Roman" w:eastAsia="宋体" w:cs="Times New Roman"/>
          <w:sz w:val="24"/>
          <w:szCs w:val="24"/>
          <w:highlight w:val="none"/>
        </w:rPr>
        <w:t>内地下水中检测了GB/T14848-2017常规监测项目3</w:t>
      </w:r>
      <w:r>
        <w:rPr>
          <w:rFonts w:hint="default" w:ascii="Times New Roman" w:hAnsi="Times New Roman" w:eastAsia="宋体" w:cs="Times New Roman"/>
          <w:sz w:val="24"/>
          <w:szCs w:val="24"/>
          <w:highlight w:val="none"/>
          <w:lang w:val="en-US" w:eastAsia="zh-CN"/>
        </w:rPr>
        <w:t>5</w:t>
      </w:r>
      <w:r>
        <w:rPr>
          <w:rFonts w:hint="default" w:ascii="Times New Roman" w:hAnsi="Times New Roman" w:eastAsia="宋体" w:cs="Times New Roman"/>
          <w:sz w:val="24"/>
          <w:szCs w:val="24"/>
          <w:highlight w:val="none"/>
        </w:rPr>
        <w:t>项</w:t>
      </w:r>
      <w:r>
        <w:rPr>
          <w:rFonts w:hint="default" w:ascii="Times New Roman" w:hAnsi="Times New Roman" w:eastAsia="宋体" w:cs="Times New Roman"/>
          <w:sz w:val="24"/>
          <w:szCs w:val="24"/>
          <w:highlight w:val="none"/>
          <w:lang w:eastAsia="zh-CN"/>
        </w:rPr>
        <w:t>、</w:t>
      </w:r>
      <w:r>
        <w:rPr>
          <w:rFonts w:hint="default" w:ascii="Times New Roman" w:hAnsi="Times New Roman" w:eastAsia="宋体" w:cs="Times New Roman"/>
          <w:sz w:val="24"/>
          <w:szCs w:val="24"/>
          <w:highlight w:val="none"/>
        </w:rPr>
        <w:t>27种挥发性有机物、11种半挥发性有机物</w:t>
      </w:r>
      <w:r>
        <w:rPr>
          <w:rFonts w:hint="default" w:ascii="Times New Roman" w:hAnsi="Times New Roman" w:eastAsia="宋体" w:cs="Times New Roman"/>
          <w:sz w:val="24"/>
          <w:szCs w:val="24"/>
          <w:highlight w:val="none"/>
          <w:lang w:eastAsia="zh-CN"/>
        </w:rPr>
        <w:t>、</w:t>
      </w:r>
      <w:r>
        <w:rPr>
          <w:rFonts w:hint="default" w:ascii="Times New Roman" w:hAnsi="Times New Roman" w:eastAsia="宋体" w:cs="Times New Roman"/>
          <w:sz w:val="24"/>
          <w:szCs w:val="24"/>
          <w:highlight w:val="none"/>
          <w:lang w:val="en-US" w:eastAsia="zh-CN" w:bidi="ar-SA"/>
        </w:rPr>
        <w:t>石油烃</w:t>
      </w:r>
      <w:r>
        <w:rPr>
          <w:rFonts w:hint="eastAsia" w:ascii="Times New Roman" w:hAnsi="Times New Roman" w:eastAsia="宋体" w:cs="Times New Roman"/>
          <w:sz w:val="24"/>
          <w:szCs w:val="24"/>
          <w:highlight w:val="none"/>
          <w:lang w:val="en-US" w:eastAsia="zh-CN" w:bidi="ar-SA"/>
        </w:rPr>
        <w:t>、总铬、总磷、钴、锑、可吸附有机卤素（AOX）、五氯酚、2,3,4,6-四氯酚、1,2,3-三氯苯、1,2,4-三氯苯、4-氯苯胺、2-硝基苯胺、4-硝基苯胺</w:t>
      </w:r>
      <w:r>
        <w:rPr>
          <w:rFonts w:hint="default" w:ascii="Times New Roman" w:hAnsi="Times New Roman" w:eastAsia="宋体" w:cs="Times New Roman"/>
          <w:sz w:val="24"/>
          <w:szCs w:val="24"/>
          <w:highlight w:val="none"/>
        </w:rPr>
        <w:t>；</w:t>
      </w:r>
      <w:r>
        <w:rPr>
          <w:rFonts w:hint="default" w:ascii="Times New Roman" w:hAnsi="Times New Roman" w:eastAsia="宋体" w:cs="Times New Roman"/>
          <w:sz w:val="24"/>
          <w:szCs w:val="24"/>
          <w:highlight w:val="none"/>
          <w:lang w:val="en-US" w:eastAsia="zh-CN"/>
        </w:rPr>
        <w:t>除浊度</w:t>
      </w:r>
      <w:r>
        <w:rPr>
          <w:rFonts w:hint="eastAsia" w:ascii="Times New Roman" w:hAnsi="Times New Roman" w:eastAsia="宋体" w:cs="Times New Roman"/>
          <w:sz w:val="24"/>
          <w:szCs w:val="24"/>
          <w:highlight w:val="none"/>
          <w:lang w:val="en-US" w:eastAsia="zh-CN"/>
        </w:rPr>
        <w:t>和W3点位氯化物</w:t>
      </w:r>
      <w:r>
        <w:rPr>
          <w:rFonts w:hint="default" w:ascii="Times New Roman" w:hAnsi="Times New Roman" w:eastAsia="宋体" w:cs="Times New Roman"/>
          <w:sz w:val="24"/>
          <w:szCs w:val="24"/>
          <w:highlight w:val="none"/>
          <w:lang w:val="en-US" w:eastAsia="zh-CN"/>
        </w:rPr>
        <w:t>超过</w:t>
      </w:r>
      <w:r>
        <w:rPr>
          <w:rFonts w:hint="default" w:ascii="Times New Roman" w:hAnsi="Times New Roman" w:eastAsia="宋体" w:cs="Times New Roman"/>
          <w:sz w:val="24"/>
          <w:szCs w:val="24"/>
          <w:highlight w:val="none"/>
        </w:rPr>
        <w:t>《地下水质量标准》（GB/T14848</w:t>
      </w:r>
      <w:r>
        <w:rPr>
          <w:rFonts w:hint="default" w:ascii="Times New Roman" w:hAnsi="Times New Roman" w:eastAsia="宋体" w:cs="Times New Roman"/>
          <w:sz w:val="24"/>
          <w:szCs w:val="24"/>
          <w:highlight w:val="none"/>
          <w:lang w:val="en-US" w:eastAsia="zh-CN"/>
        </w:rPr>
        <w:t>-</w:t>
      </w:r>
      <w:r>
        <w:rPr>
          <w:rFonts w:hint="default" w:ascii="Times New Roman" w:hAnsi="Times New Roman" w:eastAsia="宋体" w:cs="Times New Roman"/>
          <w:sz w:val="24"/>
          <w:szCs w:val="24"/>
          <w:highlight w:val="none"/>
        </w:rPr>
        <w:t>2017）</w:t>
      </w:r>
      <w:r>
        <w:rPr>
          <w:rFonts w:hint="default" w:ascii="Times New Roman" w:hAnsi="Times New Roman" w:eastAsia="宋体" w:cs="Times New Roman"/>
          <w:sz w:val="24"/>
          <w:szCs w:val="24"/>
          <w:highlight w:val="none"/>
          <w:lang w:eastAsia="zh-CN"/>
        </w:rPr>
        <w:t>IV</w:t>
      </w:r>
      <w:r>
        <w:rPr>
          <w:rFonts w:hint="default" w:ascii="Times New Roman" w:hAnsi="Times New Roman" w:eastAsia="宋体" w:cs="Times New Roman"/>
          <w:sz w:val="24"/>
          <w:szCs w:val="24"/>
          <w:highlight w:val="none"/>
        </w:rPr>
        <w:t>类标准限值</w:t>
      </w:r>
      <w:r>
        <w:rPr>
          <w:rFonts w:hint="default" w:ascii="Times New Roman" w:hAnsi="Times New Roman" w:eastAsia="宋体" w:cs="Times New Roman"/>
          <w:sz w:val="24"/>
          <w:szCs w:val="24"/>
          <w:highlight w:val="none"/>
          <w:lang w:val="en-US" w:eastAsia="zh-CN"/>
        </w:rPr>
        <w:t>外，其他</w:t>
      </w:r>
      <w:r>
        <w:rPr>
          <w:rFonts w:hint="default" w:ascii="Times New Roman" w:hAnsi="Times New Roman" w:eastAsia="宋体" w:cs="Times New Roman"/>
          <w:sz w:val="24"/>
          <w:szCs w:val="24"/>
          <w:highlight w:val="none"/>
        </w:rPr>
        <w:t>各个监测因子监测浓度分别低于《地下水质量标准》（GB/T14848</w:t>
      </w:r>
      <w:r>
        <w:rPr>
          <w:rFonts w:hint="default" w:ascii="Times New Roman" w:hAnsi="Times New Roman" w:eastAsia="宋体" w:cs="Times New Roman"/>
          <w:sz w:val="24"/>
          <w:szCs w:val="24"/>
          <w:highlight w:val="none"/>
          <w:lang w:val="en-US" w:eastAsia="zh-CN"/>
        </w:rPr>
        <w:t>-</w:t>
      </w:r>
      <w:r>
        <w:rPr>
          <w:rFonts w:hint="default" w:ascii="Times New Roman" w:hAnsi="Times New Roman" w:eastAsia="宋体" w:cs="Times New Roman"/>
          <w:sz w:val="24"/>
          <w:szCs w:val="24"/>
          <w:highlight w:val="none"/>
        </w:rPr>
        <w:t>2017）</w:t>
      </w:r>
      <w:r>
        <w:rPr>
          <w:rFonts w:hint="default" w:ascii="Times New Roman" w:hAnsi="Times New Roman" w:eastAsia="宋体" w:cs="Times New Roman"/>
          <w:sz w:val="24"/>
          <w:szCs w:val="24"/>
          <w:highlight w:val="none"/>
          <w:lang w:eastAsia="zh-CN"/>
        </w:rPr>
        <w:t>IV</w:t>
      </w:r>
      <w:r>
        <w:rPr>
          <w:rFonts w:hint="default" w:ascii="Times New Roman" w:hAnsi="Times New Roman" w:eastAsia="宋体" w:cs="Times New Roman"/>
          <w:sz w:val="24"/>
          <w:szCs w:val="24"/>
          <w:highlight w:val="none"/>
        </w:rPr>
        <w:t>类标准限值、《上海市建设用地地下水污染风险管控筛选值补充指标》（第</w:t>
      </w:r>
      <w:r>
        <w:rPr>
          <w:rFonts w:hint="eastAsia" w:ascii="Times New Roman" w:hAnsi="Times New Roman" w:eastAsia="宋体" w:cs="Times New Roman"/>
          <w:sz w:val="24"/>
          <w:szCs w:val="24"/>
          <w:highlight w:val="none"/>
          <w:lang w:val="en-US" w:eastAsia="zh-CN"/>
        </w:rPr>
        <w:t>二</w:t>
      </w:r>
      <w:r>
        <w:rPr>
          <w:rFonts w:hint="default" w:ascii="Times New Roman" w:hAnsi="Times New Roman" w:eastAsia="宋体" w:cs="Times New Roman"/>
          <w:sz w:val="24"/>
          <w:szCs w:val="24"/>
          <w:highlight w:val="none"/>
        </w:rPr>
        <w:t>类用地筛选值（mg/L））、</w:t>
      </w:r>
      <w:r>
        <w:rPr>
          <w:rFonts w:hint="default" w:ascii="Times New Roman" w:hAnsi="Times New Roman" w:eastAsia="宋体" w:cs="Times New Roman"/>
          <w:snapToGrid w:val="0"/>
          <w:color w:val="auto"/>
          <w:highlight w:val="none"/>
          <w:lang w:val="en-US" w:eastAsia="zh-CN"/>
        </w:rPr>
        <w:t>《地表水环境质量标准》（</w:t>
      </w:r>
      <w:r>
        <w:rPr>
          <w:rFonts w:hint="eastAsia" w:ascii="Times New Roman" w:hAnsi="Times New Roman" w:eastAsia="宋体" w:cs="Times New Roman"/>
          <w:snapToGrid w:val="0"/>
          <w:color w:val="auto"/>
          <w:highlight w:val="none"/>
          <w:lang w:val="en-US" w:eastAsia="zh-CN"/>
        </w:rPr>
        <w:t>GB</w:t>
      </w:r>
      <w:r>
        <w:rPr>
          <w:rFonts w:hint="default" w:ascii="Times New Roman" w:hAnsi="Times New Roman" w:eastAsia="宋体" w:cs="Times New Roman"/>
          <w:snapToGrid w:val="0"/>
          <w:color w:val="auto"/>
          <w:highlight w:val="none"/>
          <w:lang w:val="en-US" w:eastAsia="zh-CN"/>
        </w:rPr>
        <w:t>3838-2002）Ⅳ类标准</w:t>
      </w:r>
      <w:r>
        <w:rPr>
          <w:rFonts w:hint="eastAsia" w:ascii="Times New Roman" w:hAnsi="Times New Roman" w:eastAsia="宋体" w:cs="Times New Roman"/>
          <w:snapToGrid w:val="0"/>
          <w:color w:val="auto"/>
          <w:highlight w:val="none"/>
          <w:lang w:val="en-US" w:eastAsia="zh-CN"/>
        </w:rPr>
        <w:t>、《污水综合排放标准》GB8978-1996二级标准、</w:t>
      </w:r>
      <w:r>
        <w:rPr>
          <w:rFonts w:hint="default" w:ascii="Times New Roman" w:hAnsi="Times New Roman" w:eastAsia="宋体" w:cs="Times New Roman"/>
          <w:sz w:val="24"/>
          <w:szCs w:val="24"/>
          <w:highlight w:val="none"/>
        </w:rPr>
        <w:t>《美国环保署区域环境质量筛选值（RSLs）》（202</w:t>
      </w:r>
      <w:r>
        <w:rPr>
          <w:rFonts w:hint="eastAsia" w:ascii="Times New Roman" w:hAnsi="Times New Roman" w:eastAsia="宋体" w:cs="Times New Roman"/>
          <w:sz w:val="24"/>
          <w:szCs w:val="24"/>
          <w:highlight w:val="none"/>
          <w:lang w:val="en-US" w:eastAsia="zh-CN"/>
        </w:rPr>
        <w:t>4</w:t>
      </w:r>
      <w:r>
        <w:rPr>
          <w:rFonts w:hint="default" w:ascii="Times New Roman" w:hAnsi="Times New Roman" w:eastAsia="宋体" w:cs="Times New Roman"/>
          <w:sz w:val="24"/>
          <w:szCs w:val="24"/>
          <w:highlight w:val="none"/>
        </w:rPr>
        <w:t>.</w:t>
      </w:r>
      <w:r>
        <w:rPr>
          <w:rFonts w:hint="eastAsia" w:ascii="Times New Roman" w:hAnsi="Times New Roman" w:eastAsia="宋体" w:cs="Times New Roman"/>
          <w:sz w:val="24"/>
          <w:szCs w:val="24"/>
          <w:highlight w:val="none"/>
          <w:lang w:val="en-US" w:eastAsia="zh-CN"/>
        </w:rPr>
        <w:t>11</w:t>
      </w:r>
      <w:r>
        <w:rPr>
          <w:rFonts w:hint="default" w:ascii="Times New Roman" w:hAnsi="Times New Roman" w:eastAsia="宋体" w:cs="Times New Roman"/>
          <w:sz w:val="24"/>
          <w:szCs w:val="24"/>
          <w:highlight w:val="none"/>
        </w:rPr>
        <w:t>）。</w:t>
      </w:r>
      <w:r>
        <w:rPr>
          <w:rFonts w:hint="default" w:ascii="Times New Roman" w:hAnsi="Times New Roman" w:eastAsia="宋体" w:cs="Times New Roman"/>
          <w:sz w:val="24"/>
          <w:szCs w:val="24"/>
          <w:highlight w:val="none"/>
          <w:lang w:val="en-US" w:eastAsia="zh-CN"/>
        </w:rPr>
        <w:t>根据风险评估，地下水中浊度</w:t>
      </w:r>
      <w:r>
        <w:rPr>
          <w:rFonts w:hint="eastAsia" w:ascii="Times New Roman" w:hAnsi="Times New Roman" w:eastAsia="宋体" w:cs="Times New Roman"/>
          <w:sz w:val="24"/>
          <w:szCs w:val="24"/>
          <w:highlight w:val="none"/>
          <w:lang w:val="en-US" w:eastAsia="zh-CN"/>
        </w:rPr>
        <w:t>和氯化物</w:t>
      </w:r>
      <w:r>
        <w:rPr>
          <w:rFonts w:hint="default" w:ascii="Times New Roman" w:hAnsi="Times New Roman" w:eastAsia="宋体" w:cs="Times New Roman"/>
          <w:sz w:val="24"/>
          <w:szCs w:val="24"/>
          <w:highlight w:val="none"/>
          <w:lang w:val="en-US" w:eastAsia="zh-CN"/>
        </w:rPr>
        <w:t>不具有人体健康风险。</w:t>
      </w:r>
    </w:p>
    <w:p w14:paraId="53150A19">
      <w:pPr>
        <w:pStyle w:val="4"/>
        <w:widowControl w:val="0"/>
        <w:adjustRightInd/>
        <w:spacing w:beforeAutospacing="0" w:afterAutospacing="0" w:line="360" w:lineRule="auto"/>
        <w:ind w:firstLine="480" w:firstLineChars="200"/>
        <w:jc w:val="both"/>
        <w:rPr>
          <w:rFonts w:hint="eastAsia"/>
          <w:sz w:val="24"/>
          <w:highlight w:val="none"/>
        </w:rPr>
      </w:pPr>
      <w:r>
        <w:rPr>
          <w:rFonts w:hint="eastAsia"/>
          <w:sz w:val="24"/>
          <w:highlight w:val="none"/>
        </w:rPr>
        <w:t>综上本地块可以结束初步调查，无需开展进一步的详细调查及风险评估，满足</w:t>
      </w:r>
      <w:r>
        <w:rPr>
          <w:rFonts w:hint="default" w:ascii="Times New Roman" w:hAnsi="Times New Roman" w:eastAsia="宋体" w:cs="Times New Roman"/>
          <w:kern w:val="0"/>
          <w:sz w:val="24"/>
          <w:szCs w:val="24"/>
          <w:highlight w:val="none"/>
          <w:lang w:val="en-US" w:eastAsia="zh-CN"/>
        </w:rPr>
        <w:t>《国土空间调查、规划、用途管制用地用海分类指南》中</w:t>
      </w:r>
      <w:r>
        <w:rPr>
          <w:rFonts w:hint="eastAsia" w:ascii="Times New Roman" w:hAnsi="Times New Roman" w:eastAsia="宋体" w:cs="Times New Roman"/>
          <w:color w:val="auto"/>
          <w:kern w:val="0"/>
          <w:sz w:val="24"/>
          <w:szCs w:val="24"/>
          <w:highlight w:val="none"/>
          <w:lang w:val="en-US" w:eastAsia="zh-CN"/>
        </w:rPr>
        <w:t>工矿用地</w:t>
      </w:r>
      <w:r>
        <w:rPr>
          <w:rFonts w:hint="default" w:ascii="Times New Roman" w:hAnsi="Times New Roman" w:eastAsia="宋体" w:cs="Times New Roman"/>
          <w:color w:val="auto"/>
          <w:kern w:val="0"/>
          <w:sz w:val="24"/>
          <w:szCs w:val="24"/>
          <w:highlight w:val="none"/>
          <w:lang w:val="en-US" w:eastAsia="zh-CN"/>
        </w:rPr>
        <w:t>中的</w:t>
      </w:r>
      <w:r>
        <w:rPr>
          <w:rFonts w:hint="eastAsia" w:ascii="Times New Roman" w:hAnsi="Times New Roman" w:eastAsia="宋体" w:cs="Times New Roman"/>
          <w:color w:val="auto"/>
          <w:kern w:val="0"/>
          <w:sz w:val="24"/>
          <w:szCs w:val="24"/>
          <w:highlight w:val="none"/>
          <w:lang w:val="en-US" w:eastAsia="zh-CN"/>
        </w:rPr>
        <w:t>一类/二类工业用地</w:t>
      </w:r>
      <w:r>
        <w:rPr>
          <w:rFonts w:hint="default" w:ascii="Times New Roman" w:hAnsi="Times New Roman" w:eastAsia="宋体" w:cs="Times New Roman"/>
          <w:color w:val="auto"/>
          <w:kern w:val="0"/>
          <w:sz w:val="24"/>
          <w:szCs w:val="24"/>
          <w:highlight w:val="none"/>
          <w:lang w:val="en-US" w:eastAsia="zh-CN"/>
        </w:rPr>
        <w:t>（代码分别为10010</w:t>
      </w:r>
      <w:r>
        <w:rPr>
          <w:rFonts w:hint="eastAsia" w:ascii="Times New Roman" w:hAnsi="Times New Roman" w:eastAsia="宋体" w:cs="Times New Roman"/>
          <w:color w:val="auto"/>
          <w:kern w:val="0"/>
          <w:sz w:val="24"/>
          <w:szCs w:val="24"/>
          <w:highlight w:val="none"/>
          <w:lang w:val="en-US" w:eastAsia="zh-CN"/>
        </w:rPr>
        <w:t>1/</w:t>
      </w:r>
      <w:r>
        <w:rPr>
          <w:rFonts w:hint="default" w:ascii="Times New Roman" w:hAnsi="Times New Roman" w:eastAsia="宋体" w:cs="Times New Roman"/>
          <w:color w:val="auto"/>
          <w:kern w:val="0"/>
          <w:sz w:val="24"/>
          <w:szCs w:val="24"/>
          <w:highlight w:val="none"/>
          <w:lang w:val="en-US" w:eastAsia="zh-CN"/>
        </w:rPr>
        <w:t>10010</w:t>
      </w:r>
      <w:r>
        <w:rPr>
          <w:rFonts w:hint="eastAsia" w:ascii="Times New Roman" w:hAnsi="Times New Roman" w:eastAsia="宋体" w:cs="Times New Roman"/>
          <w:color w:val="auto"/>
          <w:kern w:val="0"/>
          <w:sz w:val="24"/>
          <w:szCs w:val="24"/>
          <w:highlight w:val="none"/>
          <w:lang w:val="en-US" w:eastAsia="zh-CN"/>
        </w:rPr>
        <w:t>2</w:t>
      </w:r>
      <w:r>
        <w:rPr>
          <w:rFonts w:hint="default" w:ascii="Times New Roman" w:hAnsi="Times New Roman" w:eastAsia="宋体" w:cs="Times New Roman"/>
          <w:color w:val="auto"/>
          <w:kern w:val="0"/>
          <w:sz w:val="24"/>
          <w:szCs w:val="24"/>
          <w:highlight w:val="none"/>
          <w:lang w:val="en-US" w:eastAsia="zh-CN"/>
        </w:rPr>
        <w:t>）</w:t>
      </w:r>
      <w:r>
        <w:rPr>
          <w:rFonts w:hint="default" w:ascii="Times New Roman" w:hAnsi="Times New Roman" w:eastAsia="宋体" w:cs="Times New Roman"/>
          <w:sz w:val="24"/>
          <w:szCs w:val="24"/>
          <w:highlight w:val="none"/>
          <w:lang w:val="en-US" w:eastAsia="zh-CN"/>
        </w:rPr>
        <w:t>的开发需求</w:t>
      </w:r>
      <w:r>
        <w:rPr>
          <w:rFonts w:hint="eastAsia"/>
          <w:sz w:val="24"/>
          <w:highlight w:val="none"/>
        </w:rPr>
        <w:t>，可为后续开发利用提供相关依据。</w:t>
      </w:r>
    </w:p>
    <w:p w14:paraId="083C5ACC"/>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Book Antiqua">
    <w:panose1 w:val="02040602050305030304"/>
    <w:charset w:val="00"/>
    <w:family w:val="roman"/>
    <w:pitch w:val="default"/>
    <w:sig w:usb0="00000287" w:usb1="00000000" w:usb2="00000000" w:usb3="00000000" w:csb0="2000009F" w:csb1="DFD7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66B0CC0"/>
    <w:multiLevelType w:val="singleLevel"/>
    <w:tmpl w:val="266B0CC0"/>
    <w:lvl w:ilvl="0" w:tentative="0">
      <w:start w:val="1"/>
      <w:numFmt w:val="decimal"/>
      <w:suff w:val="nothing"/>
      <w:lvlText w:val="（%1）"/>
      <w:lvlJc w:val="left"/>
      <w:pPr>
        <w:tabs>
          <w:tab w:val="left" w:pos="0"/>
        </w:tabs>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D8125BC"/>
    <w:rsid w:val="2D8125BC"/>
    <w:rsid w:val="5B441AB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utoSpaceDE w:val="0"/>
      <w:autoSpaceDN w:val="0"/>
      <w:adjustRightInd w:val="0"/>
    </w:pPr>
    <w:rPr>
      <w:rFonts w:ascii="Book Antiqua" w:hAnsi="Book Antiqua" w:eastAsia="Times New Roman" w:cs="Times New Roman"/>
      <w:sz w:val="24"/>
      <w:szCs w:val="24"/>
      <w:lang w:val="en-US" w:eastAsia="en-US" w:bidi="ar-SA"/>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2">
    <w:name w:val="Body Text Indent"/>
    <w:basedOn w:val="1"/>
    <w:qFormat/>
    <w:uiPriority w:val="0"/>
    <w:pPr>
      <w:widowControl w:val="0"/>
      <w:spacing w:line="360" w:lineRule="auto"/>
      <w:ind w:firstLine="541" w:firstLineChars="225"/>
      <w:textAlignment w:val="auto"/>
    </w:pPr>
    <w:rPr>
      <w:b/>
      <w:bCs/>
      <w:color w:val="auto"/>
      <w:kern w:val="2"/>
      <w:sz w:val="24"/>
      <w:u w:val="none" w:color="auto"/>
    </w:rPr>
  </w:style>
  <w:style w:type="paragraph" w:styleId="3">
    <w:name w:val="footer"/>
    <w:basedOn w:val="1"/>
    <w:unhideWhenUsed/>
    <w:qFormat/>
    <w:uiPriority w:val="99"/>
    <w:pPr>
      <w:tabs>
        <w:tab w:val="center" w:pos="4153"/>
        <w:tab w:val="right" w:pos="8306"/>
      </w:tabs>
      <w:snapToGrid w:val="0"/>
    </w:pPr>
    <w:rPr>
      <w:sz w:val="18"/>
      <w:szCs w:val="18"/>
    </w:rPr>
  </w:style>
  <w:style w:type="paragraph" w:styleId="4">
    <w:name w:val="Normal (Web)"/>
    <w:basedOn w:val="1"/>
    <w:unhideWhenUsed/>
    <w:qFormat/>
    <w:uiPriority w:val="99"/>
    <w:pPr>
      <w:spacing w:beforeAutospacing="1" w:afterAutospacing="1"/>
    </w:pPr>
    <w:rPr>
      <w:rFonts w:cs="Times New Roman"/>
      <w:sz w:val="24"/>
      <w:lang w:eastAsia="zh-CN"/>
    </w:rPr>
  </w:style>
  <w:style w:type="paragraph" w:customStyle="1" w:styleId="7">
    <w:name w:val="00正文zw"/>
    <w:basedOn w:val="1"/>
    <w:qFormat/>
    <w:uiPriority w:val="99"/>
    <w:pPr>
      <w:autoSpaceDE/>
      <w:autoSpaceDN/>
      <w:adjustRightInd/>
      <w:spacing w:line="480" w:lineRule="exact"/>
      <w:ind w:firstLine="200" w:firstLineChars="200"/>
    </w:pPr>
    <w:rPr>
      <w:rFonts w:ascii="Times New Roman" w:hAnsi="Times New Roman" w:eastAsia="宋体" w:cs="Times New Roman"/>
      <w:color w:val="000000"/>
      <w:sz w:val="24"/>
      <w:szCs w:val="24"/>
      <w:lang w:eastAsia="zh-CN"/>
    </w:rPr>
  </w:style>
  <w:style w:type="paragraph" w:customStyle="1" w:styleId="8">
    <w:name w:val="text"/>
    <w:basedOn w:val="1"/>
    <w:qFormat/>
    <w:uiPriority w:val="0"/>
    <w:pPr>
      <w:spacing w:line="360" w:lineRule="auto"/>
      <w:ind w:firstLine="480" w:firstLineChars="200"/>
      <w:jc w:val="both"/>
    </w:pPr>
    <w:rPr>
      <w:sz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2144</Words>
  <Characters>2510</Characters>
  <Lines>0</Lines>
  <Paragraphs>0</Paragraphs>
  <TotalTime>0</TotalTime>
  <ScaleCrop>false</ScaleCrop>
  <LinksUpToDate>false</LinksUpToDate>
  <CharactersWithSpaces>2519</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2025-06-03T02:46:00Z</dcterms:created>
  <dc:creator>卟零</dc:creator>
  <cp:lastModifiedBy>瓜子</cp:lastModifiedBy>
  <dcterms:modified xsi:type="dcterms:W3CDTF">2025-06-03T03:26:47Z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A831BF28BFA3453481C0DDBD73A31C4D_13</vt:lpwstr>
  </property>
  <property fmtid="{D5CDD505-2E9C-101B-9397-08002B2CF9AE}" pid="4" name="KSOTemplateDocerSaveRecord">
    <vt:lpwstr>eyJoZGlkIjoiNjUxYTRiYjU5YjBkZWFmZTM3NmI3OGQ3NTM2OTVjNmUiLCJ1c2VySWQiOiIxNjA4NDU1NjU2In0=</vt:lpwstr>
  </property>
</Properties>
</file>